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025" w:rsidRPr="0039315C" w:rsidRDefault="00F85CB4" w:rsidP="00CB6E9F">
      <w:pPr>
        <w:jc w:val="center"/>
        <w:rPr>
          <w:b/>
          <w:sz w:val="28"/>
          <w:szCs w:val="28"/>
        </w:rPr>
      </w:pPr>
      <w:r w:rsidRPr="0039315C">
        <w:rPr>
          <w:b/>
          <w:sz w:val="28"/>
          <w:szCs w:val="28"/>
        </w:rPr>
        <w:t xml:space="preserve">Careers, Work Experience and Progression Strategy </w:t>
      </w:r>
      <w:r w:rsidR="00FD5C47">
        <w:rPr>
          <w:b/>
          <w:sz w:val="28"/>
          <w:szCs w:val="28"/>
        </w:rPr>
        <w:t>and</w:t>
      </w:r>
      <w:r w:rsidR="00985BF4">
        <w:rPr>
          <w:b/>
          <w:sz w:val="28"/>
          <w:szCs w:val="28"/>
        </w:rPr>
        <w:t xml:space="preserve"> Development Action </w:t>
      </w:r>
      <w:r w:rsidRPr="0039315C">
        <w:rPr>
          <w:b/>
          <w:sz w:val="28"/>
          <w:szCs w:val="28"/>
        </w:rPr>
        <w:t>2018 – 2021</w:t>
      </w:r>
    </w:p>
    <w:p w:rsidR="00882025" w:rsidRDefault="00801A20" w:rsidP="00801A20">
      <w:pPr>
        <w:widowControl w:val="0"/>
        <w:pBdr>
          <w:top w:val="nil"/>
          <w:left w:val="nil"/>
          <w:bottom w:val="nil"/>
          <w:right w:val="nil"/>
          <w:between w:val="nil"/>
        </w:pBdr>
        <w:spacing w:after="0" w:line="240" w:lineRule="auto"/>
        <w:contextualSpacing/>
      </w:pPr>
      <w:r>
        <w:t>T</w:t>
      </w:r>
      <w:r w:rsidR="00F85CB4">
        <w:t>he strateg</w:t>
      </w:r>
      <w:r w:rsidR="00FD5C47">
        <w:t>y is integral to the college’s mission and brand v</w:t>
      </w:r>
      <w:r w:rsidR="00F85CB4">
        <w:t>alues</w:t>
      </w:r>
      <w:r w:rsidR="00882025">
        <w:t>. Through its implementation,</w:t>
      </w:r>
      <w:r>
        <w:t xml:space="preserve"> </w:t>
      </w:r>
      <w:r w:rsidR="00882025">
        <w:t xml:space="preserve">students will be supported </w:t>
      </w:r>
      <w:r w:rsidRPr="00801A20">
        <w:t xml:space="preserve">to make informed choices </w:t>
      </w:r>
      <w:r w:rsidR="00AE105E">
        <w:t xml:space="preserve">about their progression so that </w:t>
      </w:r>
      <w:r w:rsidRPr="00801A20">
        <w:t>the</w:t>
      </w:r>
      <w:r w:rsidR="00F55A19">
        <w:t>ir</w:t>
      </w:r>
      <w:r w:rsidRPr="00801A20">
        <w:t xml:space="preserve"> </w:t>
      </w:r>
      <w:r w:rsidR="00882025">
        <w:t xml:space="preserve">career </w:t>
      </w:r>
      <w:r w:rsidR="00985BF4">
        <w:t>ideas are aspirational.</w:t>
      </w:r>
    </w:p>
    <w:p w:rsidR="00FD5C47" w:rsidRDefault="00FD5C47" w:rsidP="00801A20">
      <w:pPr>
        <w:widowControl w:val="0"/>
        <w:pBdr>
          <w:top w:val="nil"/>
          <w:left w:val="nil"/>
          <w:bottom w:val="nil"/>
          <w:right w:val="nil"/>
          <w:between w:val="nil"/>
        </w:pBdr>
        <w:spacing w:after="0" w:line="240" w:lineRule="auto"/>
        <w:contextualSpacing/>
      </w:pPr>
    </w:p>
    <w:p w:rsidR="00882025" w:rsidRDefault="00882025" w:rsidP="00882025">
      <w:r>
        <w:t xml:space="preserve">The strategy supports a destination led, </w:t>
      </w:r>
      <w:r w:rsidR="00FD5C47">
        <w:t xml:space="preserve">capacity </w:t>
      </w:r>
      <w:r w:rsidR="00E35B4D">
        <w:t>building</w:t>
      </w:r>
      <w:r>
        <w:t xml:space="preserve"> model designed to inspire, inform, </w:t>
      </w:r>
      <w:r w:rsidR="00985BF4">
        <w:t>advis</w:t>
      </w:r>
      <w:r w:rsidR="00E35B4D">
        <w:t>e</w:t>
      </w:r>
      <w:r>
        <w:t xml:space="preserve"> and guide individual students towards their progression goals. The strategy outlines how curriculum, central teams, employers and external partners collaborate to support student progression in an impartial manner. Intervention includes curriculum delivery, </w:t>
      </w:r>
      <w:r w:rsidRPr="00801A20">
        <w:t>employer input</w:t>
      </w:r>
      <w:r w:rsidR="00D0263D">
        <w:t xml:space="preserve"> through talks, visits and work experience activities</w:t>
      </w:r>
      <w:r w:rsidRPr="00801A20">
        <w:t xml:space="preserve">, progression events, external and internal </w:t>
      </w:r>
      <w:r w:rsidR="00D0263D">
        <w:t xml:space="preserve">specialist </w:t>
      </w:r>
      <w:r w:rsidR="00FD5C47">
        <w:t xml:space="preserve">advice </w:t>
      </w:r>
      <w:r>
        <w:t>and personalised guidance</w:t>
      </w:r>
      <w:r w:rsidRPr="00801A20">
        <w:t>.</w:t>
      </w:r>
    </w:p>
    <w:p w:rsidR="00801A20" w:rsidRDefault="00985BF4" w:rsidP="00CB6E9F">
      <w:pPr>
        <w:spacing w:after="0"/>
      </w:pPr>
      <w:r>
        <w:t>This</w:t>
      </w:r>
      <w:r w:rsidR="00D0263D">
        <w:t xml:space="preserve"> Careers, Work Experience and Progression s</w:t>
      </w:r>
      <w:r w:rsidR="00C8512B">
        <w:t xml:space="preserve">trategy </w:t>
      </w:r>
      <w:r w:rsidR="00055AF1">
        <w:t>addresses</w:t>
      </w:r>
      <w:r w:rsidR="00801A20">
        <w:t>:</w:t>
      </w:r>
    </w:p>
    <w:p w:rsidR="00C8512B" w:rsidRDefault="00FD5C47" w:rsidP="00CB6E9F">
      <w:pPr>
        <w:pStyle w:val="ListParagraph"/>
        <w:numPr>
          <w:ilvl w:val="0"/>
          <w:numId w:val="6"/>
        </w:numPr>
        <w:spacing w:after="0"/>
      </w:pPr>
      <w:r>
        <w:t>T</w:t>
      </w:r>
      <w:r w:rsidR="00055AF1">
        <w:t>he aim</w:t>
      </w:r>
      <w:r w:rsidR="00061D0F">
        <w:t>s</w:t>
      </w:r>
      <w:r w:rsidR="00055AF1">
        <w:t xml:space="preserve"> of </w:t>
      </w:r>
      <w:r w:rsidR="00061D0F">
        <w:t xml:space="preserve">the </w:t>
      </w:r>
      <w:r w:rsidR="00C8512B">
        <w:t>National Careers Strategy</w:t>
      </w:r>
      <w:r w:rsidR="00055AF1">
        <w:t xml:space="preserve"> (published December 2017)</w:t>
      </w:r>
      <w:r w:rsidR="00D0263D">
        <w:t xml:space="preserve"> and</w:t>
      </w:r>
      <w:r w:rsidR="00882025">
        <w:t xml:space="preserve"> </w:t>
      </w:r>
      <w:r w:rsidR="00C8512B">
        <w:t xml:space="preserve">the </w:t>
      </w:r>
      <w:r w:rsidR="00D0263D">
        <w:t xml:space="preserve">embedded </w:t>
      </w:r>
      <w:r>
        <w:t>Gatsby b</w:t>
      </w:r>
      <w:r w:rsidR="00C8512B">
        <w:t xml:space="preserve">enchmarks </w:t>
      </w:r>
    </w:p>
    <w:p w:rsidR="00055AF1" w:rsidRDefault="00FD5C47" w:rsidP="00CB6E9F">
      <w:pPr>
        <w:pStyle w:val="ListParagraph"/>
        <w:numPr>
          <w:ilvl w:val="0"/>
          <w:numId w:val="6"/>
        </w:numPr>
        <w:spacing w:after="0"/>
      </w:pPr>
      <w:r>
        <w:t>K</w:t>
      </w:r>
      <w:r w:rsidR="00055AF1">
        <w:t>ey priorit</w:t>
      </w:r>
      <w:r w:rsidR="00801A20">
        <w:t>ies</w:t>
      </w:r>
      <w:r w:rsidR="00055AF1">
        <w:t xml:space="preserve"> of the LEP and feedback from employer surveys at national and regional level which focus on the soft skills needed for successful employment; resilience, initiative, communication, self-motivation and attitude, organisation, team working complementing English, </w:t>
      </w:r>
      <w:r w:rsidR="00985BF4">
        <w:t>m</w:t>
      </w:r>
      <w:r w:rsidR="00055AF1">
        <w:t>aths, digital literacy and technical skills</w:t>
      </w:r>
    </w:p>
    <w:p w:rsidR="00D0263D" w:rsidRDefault="00FD5C47" w:rsidP="00CB6E9F">
      <w:pPr>
        <w:pStyle w:val="ListParagraph"/>
        <w:numPr>
          <w:ilvl w:val="0"/>
          <w:numId w:val="6"/>
        </w:numPr>
        <w:spacing w:after="0"/>
      </w:pPr>
      <w:r>
        <w:t>T</w:t>
      </w:r>
      <w:r w:rsidR="00D0263D">
        <w:t>he IAG good practice that will be integral to the high quality work placements in</w:t>
      </w:r>
      <w:r w:rsidR="00985BF4">
        <w:t xml:space="preserve">cluding      </w:t>
      </w:r>
      <w:r>
        <w:t xml:space="preserve"> T</w:t>
      </w:r>
      <w:r w:rsidR="0001628B">
        <w:t>echnical</w:t>
      </w:r>
      <w:r>
        <w:t xml:space="preserve"> Level L3 q</w:t>
      </w:r>
      <w:r w:rsidR="00D0263D">
        <w:t>ualifications from 2020.</w:t>
      </w:r>
    </w:p>
    <w:p w:rsidR="00CB6E9F" w:rsidRDefault="00CB6E9F" w:rsidP="00985BF4">
      <w:pPr>
        <w:spacing w:after="0"/>
      </w:pPr>
    </w:p>
    <w:p w:rsidR="00985BF4" w:rsidRDefault="00985BF4" w:rsidP="00985BF4">
      <w:pPr>
        <w:spacing w:after="0"/>
      </w:pPr>
    </w:p>
    <w:p w:rsidR="00177934" w:rsidRDefault="00177934" w:rsidP="00177934">
      <w:pPr>
        <w:widowControl w:val="0"/>
        <w:spacing w:line="240" w:lineRule="auto"/>
        <w:rPr>
          <w:b/>
          <w:sz w:val="28"/>
          <w:szCs w:val="28"/>
        </w:rPr>
      </w:pPr>
      <w:r>
        <w:rPr>
          <w:b/>
          <w:sz w:val="28"/>
          <w:szCs w:val="28"/>
        </w:rPr>
        <w:t xml:space="preserve">Strategic aim for careers and work experience:  </w:t>
      </w:r>
    </w:p>
    <w:p w:rsidR="00177934" w:rsidRDefault="00177934" w:rsidP="00177934">
      <w:pPr>
        <w:widowControl w:val="0"/>
        <w:spacing w:line="240" w:lineRule="auto"/>
      </w:pPr>
      <w:r>
        <w:t>Students are inspired to aim for aspirational careers and will gain the skills and experiences they nee</w:t>
      </w:r>
      <w:r w:rsidR="00FD5C47">
        <w:t xml:space="preserve">d to achieve their career goals. This is </w:t>
      </w:r>
      <w:r>
        <w:t>with support to overcome</w:t>
      </w:r>
      <w:r w:rsidR="00FD5C47">
        <w:t xml:space="preserve"> any barriers to progression, promoting</w:t>
      </w:r>
      <w:r>
        <w:t xml:space="preserve"> social mobility</w:t>
      </w:r>
      <w:r w:rsidR="00FD5C47">
        <w:t>.</w:t>
      </w:r>
    </w:p>
    <w:p w:rsidR="00177934" w:rsidRDefault="00177934" w:rsidP="00177934">
      <w:pPr>
        <w:widowControl w:val="0"/>
        <w:rPr>
          <w:sz w:val="12"/>
          <w:szCs w:val="12"/>
        </w:rPr>
      </w:pPr>
      <w:r>
        <w:rPr>
          <w:b/>
          <w:sz w:val="28"/>
          <w:szCs w:val="28"/>
        </w:rPr>
        <w:t xml:space="preserve">Our strategic approach: </w:t>
      </w:r>
    </w:p>
    <w:p w:rsidR="00177934" w:rsidRPr="00177934" w:rsidRDefault="00177934" w:rsidP="00177934">
      <w:pPr>
        <w:widowControl w:val="0"/>
        <w:numPr>
          <w:ilvl w:val="0"/>
          <w:numId w:val="39"/>
        </w:numPr>
        <w:pBdr>
          <w:top w:val="nil"/>
          <w:left w:val="nil"/>
          <w:bottom w:val="nil"/>
          <w:right w:val="nil"/>
          <w:between w:val="nil"/>
        </w:pBdr>
        <w:spacing w:after="0" w:line="276" w:lineRule="auto"/>
        <w:contextualSpacing/>
      </w:pPr>
      <w:r w:rsidRPr="00177934">
        <w:t>We inspire our students by exposing them to a wide variety of opportunities to meet employers, professionals and industry specialists</w:t>
      </w:r>
    </w:p>
    <w:p w:rsidR="00177934" w:rsidRPr="00177934" w:rsidRDefault="00177934" w:rsidP="00177934">
      <w:pPr>
        <w:widowControl w:val="0"/>
        <w:numPr>
          <w:ilvl w:val="0"/>
          <w:numId w:val="39"/>
        </w:numPr>
        <w:pBdr>
          <w:top w:val="nil"/>
          <w:left w:val="nil"/>
          <w:bottom w:val="nil"/>
          <w:right w:val="nil"/>
          <w:between w:val="nil"/>
        </w:pBdr>
        <w:spacing w:after="0" w:line="276" w:lineRule="auto"/>
        <w:contextualSpacing/>
      </w:pPr>
      <w:r w:rsidRPr="00177934">
        <w:t>We provide students with information about the range of progression pathways from their course or apprenticeship</w:t>
      </w:r>
    </w:p>
    <w:p w:rsidR="00177934" w:rsidRPr="00177934" w:rsidRDefault="00177934" w:rsidP="00177934">
      <w:pPr>
        <w:pStyle w:val="ListParagraph"/>
        <w:numPr>
          <w:ilvl w:val="0"/>
          <w:numId w:val="39"/>
        </w:numPr>
        <w:spacing w:after="0"/>
      </w:pPr>
      <w:r w:rsidRPr="00177934">
        <w:t xml:space="preserve">Embed a positive work culture through engagement activities and events and through meaningful work experience, volunteering, employability skills and digital literacy </w:t>
      </w:r>
    </w:p>
    <w:p w:rsidR="00177934" w:rsidRPr="00177934" w:rsidRDefault="00177934" w:rsidP="00177934">
      <w:pPr>
        <w:widowControl w:val="0"/>
        <w:numPr>
          <w:ilvl w:val="0"/>
          <w:numId w:val="39"/>
        </w:numPr>
        <w:pBdr>
          <w:top w:val="nil"/>
          <w:left w:val="nil"/>
          <w:bottom w:val="nil"/>
          <w:right w:val="nil"/>
          <w:between w:val="nil"/>
        </w:pBdr>
        <w:spacing w:after="0" w:line="276" w:lineRule="auto"/>
        <w:contextualSpacing/>
      </w:pPr>
      <w:r w:rsidRPr="00177934">
        <w:t>Work placement</w:t>
      </w:r>
      <w:r w:rsidR="00FD5C47">
        <w:t>s</w:t>
      </w:r>
      <w:r w:rsidRPr="00177934">
        <w:t>, enterprise and employer led activities develop skills for work readiness and to support student progress</w:t>
      </w:r>
    </w:p>
    <w:p w:rsidR="00177934" w:rsidRPr="00177934" w:rsidRDefault="00177934" w:rsidP="00177934">
      <w:pPr>
        <w:widowControl w:val="0"/>
        <w:numPr>
          <w:ilvl w:val="0"/>
          <w:numId w:val="39"/>
        </w:numPr>
        <w:pBdr>
          <w:top w:val="nil"/>
          <w:left w:val="nil"/>
          <w:bottom w:val="nil"/>
          <w:right w:val="nil"/>
          <w:between w:val="nil"/>
        </w:pBdr>
        <w:spacing w:after="0" w:line="276" w:lineRule="auto"/>
        <w:contextualSpacing/>
      </w:pPr>
      <w:r w:rsidRPr="00177934">
        <w:lastRenderedPageBreak/>
        <w:t>Careers information, advice and guidance is well embedded in vocational areas drawing on work experience, industry specialism and labour market information</w:t>
      </w:r>
    </w:p>
    <w:p w:rsidR="00177934" w:rsidRDefault="00177934" w:rsidP="00177934">
      <w:pPr>
        <w:widowControl w:val="0"/>
        <w:numPr>
          <w:ilvl w:val="0"/>
          <w:numId w:val="39"/>
        </w:numPr>
        <w:pBdr>
          <w:top w:val="nil"/>
          <w:left w:val="nil"/>
          <w:bottom w:val="nil"/>
          <w:right w:val="nil"/>
          <w:between w:val="nil"/>
        </w:pBdr>
        <w:spacing w:after="0" w:line="276" w:lineRule="auto"/>
        <w:contextualSpacing/>
      </w:pPr>
      <w:r w:rsidRPr="00177934">
        <w:t>A centrally planned and resourced taught tutorial programme shapes personal growth, career planning and builds resilience</w:t>
      </w:r>
    </w:p>
    <w:p w:rsidR="00257EA6" w:rsidRDefault="00257EA6" w:rsidP="00257EA6">
      <w:pPr>
        <w:pStyle w:val="ListParagraph"/>
        <w:numPr>
          <w:ilvl w:val="0"/>
          <w:numId w:val="39"/>
        </w:numPr>
        <w:spacing w:after="0"/>
      </w:pPr>
      <w:r>
        <w:t>Every student receives careers planning; resources and delivery are differentiated to meet in</w:t>
      </w:r>
      <w:r w:rsidR="00FD5C47">
        <w:t>dividual learning support needs</w:t>
      </w:r>
    </w:p>
    <w:p w:rsidR="00177934" w:rsidRPr="00177934" w:rsidRDefault="00177934" w:rsidP="00257EA6">
      <w:pPr>
        <w:widowControl w:val="0"/>
        <w:numPr>
          <w:ilvl w:val="0"/>
          <w:numId w:val="39"/>
        </w:numPr>
        <w:pBdr>
          <w:top w:val="nil"/>
          <w:left w:val="nil"/>
          <w:bottom w:val="nil"/>
          <w:right w:val="nil"/>
          <w:between w:val="nil"/>
        </w:pBdr>
        <w:spacing w:after="0" w:line="276" w:lineRule="auto"/>
        <w:contextualSpacing/>
      </w:pPr>
      <w:r w:rsidRPr="00177934">
        <w:t>Activities and resources develop transition and career management skills to help students find and secure employment or apprenticeships</w:t>
      </w:r>
      <w:r>
        <w:t xml:space="preserve"> and succeed at work</w:t>
      </w:r>
    </w:p>
    <w:p w:rsidR="00177934" w:rsidRPr="00061D0F" w:rsidRDefault="00177934" w:rsidP="00177934">
      <w:pPr>
        <w:pStyle w:val="ListParagraph"/>
        <w:numPr>
          <w:ilvl w:val="0"/>
          <w:numId w:val="39"/>
        </w:numPr>
        <w:spacing w:after="0"/>
      </w:pPr>
      <w:r w:rsidRPr="00061D0F">
        <w:t>Contributing to improvements in achievement, punctuality, attendance, retention and progression to positive destinations through work related activities</w:t>
      </w:r>
    </w:p>
    <w:p w:rsidR="00177934" w:rsidRDefault="00177934" w:rsidP="00177934">
      <w:pPr>
        <w:pStyle w:val="ListParagraph"/>
        <w:widowControl w:val="0"/>
        <w:numPr>
          <w:ilvl w:val="0"/>
          <w:numId w:val="39"/>
        </w:numPr>
        <w:pBdr>
          <w:top w:val="nil"/>
          <w:left w:val="nil"/>
          <w:bottom w:val="nil"/>
          <w:right w:val="nil"/>
          <w:between w:val="nil"/>
        </w:pBdr>
        <w:spacing w:after="0" w:line="276" w:lineRule="auto"/>
      </w:pPr>
      <w:r w:rsidRPr="00061D0F">
        <w:t>Building impactful, long-lasting relationships with employers based on agreed expectations, common understanding, well planned activities, ease of access for employers and clearly defined needs for the curriculum</w:t>
      </w:r>
    </w:p>
    <w:p w:rsidR="00177934" w:rsidRPr="00177934" w:rsidRDefault="00FD5C47" w:rsidP="00177934">
      <w:pPr>
        <w:pStyle w:val="ListParagraph"/>
        <w:widowControl w:val="0"/>
        <w:numPr>
          <w:ilvl w:val="0"/>
          <w:numId w:val="39"/>
        </w:numPr>
        <w:pBdr>
          <w:top w:val="nil"/>
          <w:left w:val="nil"/>
          <w:bottom w:val="nil"/>
          <w:right w:val="nil"/>
          <w:between w:val="nil"/>
        </w:pBdr>
        <w:spacing w:after="0" w:line="276" w:lineRule="auto"/>
      </w:pPr>
      <w:r>
        <w:t>We</w:t>
      </w:r>
      <w:r w:rsidR="00177934" w:rsidRPr="00177934">
        <w:t xml:space="preserve"> invest in tracking to ensure our students plan their progression and move into positive destinations</w:t>
      </w:r>
    </w:p>
    <w:p w:rsidR="00985BF4" w:rsidRPr="00177934" w:rsidRDefault="00177934" w:rsidP="00177934">
      <w:pPr>
        <w:pStyle w:val="ListParagraph"/>
        <w:numPr>
          <w:ilvl w:val="0"/>
          <w:numId w:val="39"/>
        </w:numPr>
        <w:spacing w:after="0"/>
      </w:pPr>
      <w:r w:rsidRPr="00177934">
        <w:t>Strong external partnerships and community relationships to enhance the student experience</w:t>
      </w:r>
    </w:p>
    <w:p w:rsidR="00985BF4" w:rsidRDefault="00985BF4" w:rsidP="00985BF4">
      <w:pPr>
        <w:spacing w:after="0"/>
      </w:pPr>
    </w:p>
    <w:p w:rsidR="00985BF4" w:rsidRDefault="00FD5C47" w:rsidP="00985BF4">
      <w:pPr>
        <w:spacing w:after="0"/>
      </w:pPr>
      <w:r>
        <w:t>The college will work with</w:t>
      </w:r>
      <w:r w:rsidR="00985BF4">
        <w:t xml:space="preserve"> the National</w:t>
      </w:r>
      <w:r>
        <w:t xml:space="preserve"> Careers Strategy to deliver its</w:t>
      </w:r>
      <w:r w:rsidR="00985BF4">
        <w:t xml:space="preserve"> strategic approach whilst the embedded Gatsby benchmarks will inform the college’s quality measures.</w:t>
      </w:r>
    </w:p>
    <w:p w:rsidR="00D0263D" w:rsidRDefault="00D0263D" w:rsidP="00D0263D">
      <w:pPr>
        <w:pStyle w:val="ListParagraph"/>
        <w:spacing w:after="0"/>
      </w:pPr>
    </w:p>
    <w:p w:rsidR="00D0263D" w:rsidRPr="00A85983" w:rsidRDefault="00D0263D" w:rsidP="00D0263D">
      <w:pPr>
        <w:spacing w:after="0"/>
        <w:rPr>
          <w:b/>
        </w:rPr>
      </w:pPr>
      <w:r w:rsidRPr="00A85983">
        <w:rPr>
          <w:b/>
        </w:rPr>
        <w:t>Embedded Gatsby Benchmarks</w:t>
      </w:r>
    </w:p>
    <w:p w:rsidR="00D0263D" w:rsidRDefault="00D0263D" w:rsidP="00D0263D">
      <w:pPr>
        <w:pStyle w:val="ListParagraph"/>
        <w:numPr>
          <w:ilvl w:val="0"/>
          <w:numId w:val="38"/>
        </w:numPr>
        <w:spacing w:after="0"/>
      </w:pPr>
      <w:r>
        <w:t>A stable careers programme</w:t>
      </w:r>
    </w:p>
    <w:p w:rsidR="00D0263D" w:rsidRDefault="004204A6" w:rsidP="00D0263D">
      <w:pPr>
        <w:pStyle w:val="ListParagraph"/>
        <w:numPr>
          <w:ilvl w:val="0"/>
          <w:numId w:val="38"/>
        </w:numPr>
        <w:spacing w:after="0"/>
      </w:pPr>
      <w:r>
        <w:t>Learning from careers and labour market i</w:t>
      </w:r>
      <w:r w:rsidR="00D0263D">
        <w:t>ntelligence (LMI)</w:t>
      </w:r>
    </w:p>
    <w:p w:rsidR="00D0263D" w:rsidRDefault="00D0263D" w:rsidP="00D0263D">
      <w:pPr>
        <w:pStyle w:val="ListParagraph"/>
        <w:numPr>
          <w:ilvl w:val="0"/>
          <w:numId w:val="38"/>
        </w:numPr>
        <w:spacing w:after="0"/>
      </w:pPr>
      <w:r>
        <w:t>Addressing the needs of each student</w:t>
      </w:r>
    </w:p>
    <w:p w:rsidR="00D0263D" w:rsidRDefault="00D0263D" w:rsidP="00D0263D">
      <w:pPr>
        <w:pStyle w:val="ListParagraph"/>
        <w:numPr>
          <w:ilvl w:val="0"/>
          <w:numId w:val="38"/>
        </w:numPr>
        <w:spacing w:after="0"/>
      </w:pPr>
      <w:r>
        <w:t>Linking curriculum learning to careers</w:t>
      </w:r>
    </w:p>
    <w:p w:rsidR="00D0263D" w:rsidRDefault="00D0263D" w:rsidP="00D0263D">
      <w:pPr>
        <w:pStyle w:val="ListParagraph"/>
        <w:numPr>
          <w:ilvl w:val="0"/>
          <w:numId w:val="38"/>
        </w:numPr>
        <w:spacing w:after="0"/>
      </w:pPr>
      <w:r>
        <w:t>Encounters with employers and employees</w:t>
      </w:r>
    </w:p>
    <w:p w:rsidR="00D0263D" w:rsidRDefault="00D0263D" w:rsidP="00D0263D">
      <w:pPr>
        <w:pStyle w:val="ListParagraph"/>
        <w:numPr>
          <w:ilvl w:val="0"/>
          <w:numId w:val="38"/>
        </w:numPr>
        <w:spacing w:after="0"/>
      </w:pPr>
      <w:r>
        <w:t>Experiences of work places</w:t>
      </w:r>
    </w:p>
    <w:p w:rsidR="00D0263D" w:rsidRDefault="00A85983" w:rsidP="00D0263D">
      <w:pPr>
        <w:pStyle w:val="ListParagraph"/>
        <w:numPr>
          <w:ilvl w:val="0"/>
          <w:numId w:val="38"/>
        </w:numPr>
        <w:spacing w:after="0"/>
      </w:pPr>
      <w:r>
        <w:t>Encounters with Further and</w:t>
      </w:r>
      <w:r w:rsidR="00D0263D">
        <w:t xml:space="preserve"> Higher Education</w:t>
      </w:r>
    </w:p>
    <w:p w:rsidR="00D0263D" w:rsidRDefault="00D0263D" w:rsidP="00D0263D">
      <w:pPr>
        <w:pStyle w:val="ListParagraph"/>
        <w:numPr>
          <w:ilvl w:val="0"/>
          <w:numId w:val="38"/>
        </w:numPr>
        <w:spacing w:after="0"/>
      </w:pPr>
      <w:r>
        <w:t>Personal guidance</w:t>
      </w:r>
    </w:p>
    <w:p w:rsidR="00CB6E9F" w:rsidRDefault="00CB6E9F" w:rsidP="00CB6E9F">
      <w:pPr>
        <w:pStyle w:val="ListParagraph"/>
        <w:spacing w:after="0"/>
      </w:pPr>
    </w:p>
    <w:p w:rsidR="00D0263D" w:rsidRDefault="00D0263D" w:rsidP="00CB6E9F">
      <w:pPr>
        <w:pStyle w:val="ListParagraph"/>
        <w:spacing w:after="0"/>
      </w:pPr>
    </w:p>
    <w:p w:rsidR="0076319E" w:rsidRDefault="0076319E" w:rsidP="0076319E">
      <w:pPr>
        <w:spacing w:after="0"/>
      </w:pPr>
    </w:p>
    <w:p w:rsidR="0076319E" w:rsidRDefault="0076319E" w:rsidP="0076319E">
      <w:pPr>
        <w:spacing w:after="0"/>
      </w:pPr>
      <w:r>
        <w:t>Linked documentation</w:t>
      </w:r>
    </w:p>
    <w:p w:rsidR="0076319E" w:rsidRDefault="0076319E" w:rsidP="0076319E">
      <w:pPr>
        <w:spacing w:after="0"/>
      </w:pPr>
    </w:p>
    <w:p w:rsidR="00E308E1" w:rsidRDefault="002A0313" w:rsidP="00E308E1">
      <w:hyperlink r:id="rId8" w:history="1">
        <w:r w:rsidR="00E308E1">
          <w:rPr>
            <w:rStyle w:val="Hyperlink"/>
          </w:rPr>
          <w:t>https://www.gov.uk/government/publications/careers-strategy-making-the-most-of-everyones-skills-and-talents</w:t>
        </w:r>
      </w:hyperlink>
    </w:p>
    <w:p w:rsidR="0076319E" w:rsidRDefault="002A0313" w:rsidP="00E308E1">
      <w:hyperlink r:id="rId9" w:history="1">
        <w:r w:rsidR="0076319E" w:rsidRPr="000D4580">
          <w:rPr>
            <w:rStyle w:val="Hyperlink"/>
          </w:rPr>
          <w:t>http://www.gatsby.org.uk/uploads/education/reports/pdf/gatsby-sir-john-holman-good-career-guidance-2014.pdf</w:t>
        </w:r>
      </w:hyperlink>
    </w:p>
    <w:p w:rsidR="0076319E" w:rsidRDefault="002A0313" w:rsidP="00E308E1">
      <w:hyperlink r:id="rId10" w:history="1">
        <w:r w:rsidR="0076319E" w:rsidRPr="000D4580">
          <w:rPr>
            <w:rStyle w:val="Hyperlink"/>
          </w:rPr>
          <w:t>https://www.gov.uk/government/uploads/system/uploads/attachment_data/file/667690/Social_Mobility_Action_Plan_-_for_printing.pdf</w:t>
        </w:r>
      </w:hyperlink>
    </w:p>
    <w:p w:rsidR="0076319E" w:rsidRDefault="0076319E" w:rsidP="00E308E1"/>
    <w:p w:rsidR="00D0263D" w:rsidRDefault="00D0263D" w:rsidP="00CB6E9F">
      <w:pPr>
        <w:pStyle w:val="ListParagraph"/>
        <w:spacing w:after="0"/>
      </w:pPr>
    </w:p>
    <w:p w:rsidR="00D0263D" w:rsidRDefault="00D0263D" w:rsidP="00CB6E9F">
      <w:pPr>
        <w:pStyle w:val="ListParagraph"/>
        <w:spacing w:after="0"/>
      </w:pPr>
    </w:p>
    <w:p w:rsidR="00D0263D" w:rsidRDefault="00D0263D" w:rsidP="00CB6E9F">
      <w:pPr>
        <w:pStyle w:val="ListParagraph"/>
        <w:spacing w:after="0"/>
      </w:pPr>
    </w:p>
    <w:p w:rsidR="00547F18" w:rsidRDefault="00547F18" w:rsidP="00547F18">
      <w:pPr>
        <w:pStyle w:val="ListParagraph"/>
      </w:pPr>
    </w:p>
    <w:p w:rsidR="00D57D8A" w:rsidRDefault="00D57D8A" w:rsidP="00547F18">
      <w:pPr>
        <w:pStyle w:val="ListParagraph"/>
      </w:pPr>
    </w:p>
    <w:p w:rsidR="00547F18" w:rsidRPr="00001E95" w:rsidRDefault="00547F18" w:rsidP="00547F18">
      <w:pPr>
        <w:pStyle w:val="ListParagraph"/>
      </w:pPr>
    </w:p>
    <w:p w:rsidR="00FA6181" w:rsidRDefault="00FA6181" w:rsidP="00FA6181"/>
    <w:p w:rsidR="00D57D8A" w:rsidRDefault="00D57D8A" w:rsidP="00FA6181"/>
    <w:p w:rsidR="00D57D8A" w:rsidRDefault="00D57D8A" w:rsidP="00FA6181"/>
    <w:p w:rsidR="00D57D8A" w:rsidRDefault="00D57D8A" w:rsidP="00FA6181">
      <w:pPr>
        <w:sectPr w:rsidR="00D57D8A" w:rsidSect="00FA6181">
          <w:footerReference w:type="default" r:id="rId11"/>
          <w:pgSz w:w="11906" w:h="16838"/>
          <w:pgMar w:top="1440" w:right="1440" w:bottom="1440" w:left="1440" w:header="709" w:footer="709" w:gutter="0"/>
          <w:cols w:space="708"/>
          <w:docGrid w:linePitch="360"/>
        </w:sectPr>
      </w:pPr>
    </w:p>
    <w:tbl>
      <w:tblPr>
        <w:tblStyle w:val="TableGrid"/>
        <w:tblpPr w:leftFromText="180" w:rightFromText="180" w:horzAnchor="margin" w:tblpXSpec="center" w:tblpY="-1440"/>
        <w:tblW w:w="10206" w:type="dxa"/>
        <w:tblLayout w:type="fixed"/>
        <w:tblLook w:val="04A0" w:firstRow="1" w:lastRow="0" w:firstColumn="1" w:lastColumn="0" w:noHBand="0" w:noVBand="1"/>
      </w:tblPr>
      <w:tblGrid>
        <w:gridCol w:w="464"/>
        <w:gridCol w:w="2268"/>
        <w:gridCol w:w="2371"/>
        <w:gridCol w:w="284"/>
        <w:gridCol w:w="4819"/>
      </w:tblGrid>
      <w:tr w:rsidR="00780266" w:rsidTr="00780266">
        <w:trPr>
          <w:gridAfter w:val="3"/>
          <w:wAfter w:w="7474" w:type="dxa"/>
        </w:trPr>
        <w:tc>
          <w:tcPr>
            <w:tcW w:w="464" w:type="dxa"/>
            <w:tcBorders>
              <w:top w:val="nil"/>
              <w:left w:val="nil"/>
              <w:bottom w:val="single" w:sz="4" w:space="0" w:color="auto"/>
              <w:right w:val="nil"/>
            </w:tcBorders>
          </w:tcPr>
          <w:p w:rsidR="00780266" w:rsidRDefault="00780266" w:rsidP="00D372AB"/>
          <w:p w:rsidR="00780266" w:rsidRDefault="00780266" w:rsidP="00D372AB"/>
          <w:p w:rsidR="0076319E" w:rsidRDefault="0076319E" w:rsidP="00D372AB"/>
          <w:p w:rsidR="0076319E" w:rsidRDefault="0076319E" w:rsidP="00D372AB"/>
          <w:p w:rsidR="0076319E" w:rsidRDefault="0076319E" w:rsidP="00D372AB"/>
        </w:tc>
        <w:tc>
          <w:tcPr>
            <w:tcW w:w="2268" w:type="dxa"/>
            <w:tcBorders>
              <w:top w:val="nil"/>
              <w:left w:val="nil"/>
              <w:bottom w:val="single" w:sz="4" w:space="0" w:color="auto"/>
              <w:right w:val="nil"/>
            </w:tcBorders>
          </w:tcPr>
          <w:p w:rsidR="00780266" w:rsidRDefault="00780266" w:rsidP="00D372AB"/>
        </w:tc>
      </w:tr>
      <w:tr w:rsidR="00780266" w:rsidTr="00465733">
        <w:tc>
          <w:tcPr>
            <w:tcW w:w="5103" w:type="dxa"/>
            <w:gridSpan w:val="3"/>
            <w:tcBorders>
              <w:bottom w:val="single" w:sz="4" w:space="0" w:color="auto"/>
              <w:right w:val="single" w:sz="4" w:space="0" w:color="auto"/>
            </w:tcBorders>
          </w:tcPr>
          <w:p w:rsidR="00780266" w:rsidRPr="0039315C" w:rsidRDefault="00A85983" w:rsidP="00D372AB">
            <w:pPr>
              <w:jc w:val="center"/>
              <w:rPr>
                <w:sz w:val="24"/>
                <w:szCs w:val="24"/>
              </w:rPr>
            </w:pPr>
            <w:r>
              <w:rPr>
                <w:sz w:val="24"/>
                <w:szCs w:val="24"/>
              </w:rPr>
              <w:t>Current activity mapped to aims of s</w:t>
            </w:r>
            <w:r w:rsidR="00780266" w:rsidRPr="0039315C">
              <w:rPr>
                <w:sz w:val="24"/>
                <w:szCs w:val="24"/>
              </w:rPr>
              <w:t>trategy</w:t>
            </w:r>
          </w:p>
        </w:tc>
        <w:tc>
          <w:tcPr>
            <w:tcW w:w="284" w:type="dxa"/>
            <w:tcBorders>
              <w:top w:val="nil"/>
              <w:left w:val="single" w:sz="4" w:space="0" w:color="auto"/>
              <w:bottom w:val="single" w:sz="4" w:space="0" w:color="auto"/>
              <w:right w:val="single" w:sz="4" w:space="0" w:color="auto"/>
            </w:tcBorders>
          </w:tcPr>
          <w:p w:rsidR="00780266" w:rsidRPr="0039315C" w:rsidRDefault="00780266" w:rsidP="00177934">
            <w:pPr>
              <w:jc w:val="center"/>
              <w:rPr>
                <w:sz w:val="24"/>
                <w:szCs w:val="24"/>
              </w:rPr>
            </w:pPr>
          </w:p>
        </w:tc>
        <w:tc>
          <w:tcPr>
            <w:tcW w:w="4819" w:type="dxa"/>
            <w:tcBorders>
              <w:left w:val="single" w:sz="4" w:space="0" w:color="auto"/>
              <w:bottom w:val="single" w:sz="4" w:space="0" w:color="auto"/>
            </w:tcBorders>
          </w:tcPr>
          <w:p w:rsidR="00780266" w:rsidRPr="0039315C" w:rsidRDefault="00780266" w:rsidP="00177934">
            <w:pPr>
              <w:jc w:val="center"/>
              <w:rPr>
                <w:sz w:val="24"/>
                <w:szCs w:val="24"/>
              </w:rPr>
            </w:pPr>
            <w:r w:rsidRPr="0039315C">
              <w:rPr>
                <w:sz w:val="24"/>
                <w:szCs w:val="24"/>
              </w:rPr>
              <w:t xml:space="preserve">Development </w:t>
            </w:r>
            <w:r w:rsidR="00A85983">
              <w:rPr>
                <w:sz w:val="24"/>
                <w:szCs w:val="24"/>
              </w:rPr>
              <w:t>a</w:t>
            </w:r>
            <w:r>
              <w:rPr>
                <w:sz w:val="24"/>
                <w:szCs w:val="24"/>
              </w:rPr>
              <w:t xml:space="preserve">ctions </w:t>
            </w:r>
            <w:r w:rsidR="00A85983">
              <w:rPr>
                <w:sz w:val="24"/>
                <w:szCs w:val="24"/>
              </w:rPr>
              <w:t>mapped to Gatsby b</w:t>
            </w:r>
            <w:r w:rsidRPr="0039315C">
              <w:rPr>
                <w:sz w:val="24"/>
                <w:szCs w:val="24"/>
              </w:rPr>
              <w:t>enchmarks</w:t>
            </w:r>
          </w:p>
        </w:tc>
      </w:tr>
      <w:tr w:rsidR="00780266" w:rsidTr="00465733">
        <w:trPr>
          <w:trHeight w:val="399"/>
        </w:trPr>
        <w:tc>
          <w:tcPr>
            <w:tcW w:w="10206" w:type="dxa"/>
            <w:gridSpan w:val="5"/>
            <w:tcBorders>
              <w:top w:val="single" w:sz="4" w:space="0" w:color="auto"/>
              <w:left w:val="single" w:sz="4" w:space="0" w:color="auto"/>
              <w:right w:val="single" w:sz="4" w:space="0" w:color="auto"/>
            </w:tcBorders>
          </w:tcPr>
          <w:p w:rsidR="00780266" w:rsidRDefault="00780266" w:rsidP="00710795">
            <w:pPr>
              <w:jc w:val="center"/>
              <w:rPr>
                <w:b/>
              </w:rPr>
            </w:pPr>
          </w:p>
          <w:p w:rsidR="00780266" w:rsidRDefault="00780266" w:rsidP="00710795">
            <w:pPr>
              <w:jc w:val="center"/>
            </w:pPr>
            <w:r>
              <w:rPr>
                <w:b/>
              </w:rPr>
              <w:t xml:space="preserve">IAG </w:t>
            </w:r>
            <w:r w:rsidRPr="00E35B4D">
              <w:rPr>
                <w:b/>
              </w:rPr>
              <w:t>Strategies to drive the scope, impact and quality of CEIAG in Leeds City College</w:t>
            </w:r>
          </w:p>
        </w:tc>
      </w:tr>
      <w:tr w:rsidR="00780266" w:rsidTr="00780266">
        <w:trPr>
          <w:trHeight w:val="1060"/>
        </w:trPr>
        <w:tc>
          <w:tcPr>
            <w:tcW w:w="5103" w:type="dxa"/>
            <w:gridSpan w:val="3"/>
            <w:vMerge w:val="restart"/>
          </w:tcPr>
          <w:p w:rsidR="00780266" w:rsidRDefault="00780266" w:rsidP="009A7988">
            <w:r>
              <w:t>Careers</w:t>
            </w:r>
            <w:r w:rsidR="00A85983">
              <w:t xml:space="preserve"> advice</w:t>
            </w:r>
            <w:r>
              <w:t xml:space="preserve"> </w:t>
            </w:r>
            <w:r w:rsidRPr="00590CFF">
              <w:t>is</w:t>
            </w:r>
            <w:r>
              <w:t xml:space="preserve"> available </w:t>
            </w:r>
            <w:r w:rsidRPr="00590CFF">
              <w:t xml:space="preserve">for all students </w:t>
            </w:r>
            <w:r>
              <w:t xml:space="preserve">and staff </w:t>
            </w:r>
            <w:r w:rsidRPr="00590CFF">
              <w:t>to access impartial specialist IAG resources, signposting and support</w:t>
            </w:r>
            <w:r>
              <w:t>.</w:t>
            </w:r>
          </w:p>
          <w:p w:rsidR="00780266" w:rsidRPr="00590CFF" w:rsidRDefault="00780266" w:rsidP="009A7988"/>
          <w:p w:rsidR="00120B91" w:rsidRDefault="00780266" w:rsidP="009A7988">
            <w:r>
              <w:t xml:space="preserve">The </w:t>
            </w:r>
            <w:r w:rsidR="00A85983">
              <w:t>capacity building and</w:t>
            </w:r>
            <w:r w:rsidRPr="00A2153B">
              <w:t xml:space="preserve"> destination led model </w:t>
            </w:r>
            <w:r>
              <w:t>is delivered through</w:t>
            </w:r>
            <w:r w:rsidR="00A85983">
              <w:t>:</w:t>
            </w:r>
          </w:p>
          <w:p w:rsidR="00120B91" w:rsidRDefault="00780266" w:rsidP="00120B91">
            <w:pPr>
              <w:pStyle w:val="ListParagraph"/>
              <w:numPr>
                <w:ilvl w:val="0"/>
                <w:numId w:val="42"/>
              </w:numPr>
            </w:pPr>
            <w:r w:rsidRPr="00A2153B">
              <w:t xml:space="preserve">digital tools </w:t>
            </w:r>
            <w:r w:rsidR="00120B91">
              <w:t>and resources</w:t>
            </w:r>
          </w:p>
          <w:p w:rsidR="00120B91" w:rsidRDefault="00780266" w:rsidP="00120B91">
            <w:pPr>
              <w:pStyle w:val="ListParagraph"/>
              <w:numPr>
                <w:ilvl w:val="0"/>
                <w:numId w:val="42"/>
              </w:numPr>
            </w:pPr>
            <w:r>
              <w:t>staff training to build capacity for curriculum kn</w:t>
            </w:r>
            <w:r w:rsidR="00120B91">
              <w:t>owledge and assurance</w:t>
            </w:r>
          </w:p>
          <w:p w:rsidR="00120B91" w:rsidRDefault="00A85983" w:rsidP="00120B91">
            <w:pPr>
              <w:pStyle w:val="ListParagraph"/>
              <w:numPr>
                <w:ilvl w:val="0"/>
                <w:numId w:val="42"/>
              </w:numPr>
            </w:pPr>
            <w:r>
              <w:t>presentations and</w:t>
            </w:r>
            <w:r w:rsidR="00780266">
              <w:t xml:space="preserve"> </w:t>
            </w:r>
            <w:r w:rsidR="00120B91">
              <w:t>workshop delivery to students</w:t>
            </w:r>
          </w:p>
          <w:p w:rsidR="00120B91" w:rsidRDefault="00780266" w:rsidP="00120B91">
            <w:pPr>
              <w:pStyle w:val="ListParagraph"/>
              <w:numPr>
                <w:ilvl w:val="0"/>
                <w:numId w:val="42"/>
              </w:numPr>
            </w:pPr>
            <w:r>
              <w:t>personal guidance from the internal tea</w:t>
            </w:r>
            <w:r w:rsidR="00120B91">
              <w:t>m and external careers service</w:t>
            </w:r>
          </w:p>
          <w:p w:rsidR="00780266" w:rsidRDefault="00780266" w:rsidP="00120B91">
            <w:pPr>
              <w:pStyle w:val="ListParagraph"/>
              <w:numPr>
                <w:ilvl w:val="0"/>
                <w:numId w:val="42"/>
              </w:numPr>
            </w:pPr>
            <w:r>
              <w:t xml:space="preserve"> </w:t>
            </w:r>
            <w:r w:rsidR="00120B91">
              <w:t>specialist</w:t>
            </w:r>
            <w:r w:rsidR="00A85983">
              <w:t xml:space="preserve"> input from HE, Employers and a</w:t>
            </w:r>
            <w:r>
              <w:t xml:space="preserve">pprenticeship providers. </w:t>
            </w:r>
          </w:p>
          <w:p w:rsidR="00780266" w:rsidRDefault="00780266" w:rsidP="009A7988"/>
          <w:p w:rsidR="00780266" w:rsidRDefault="00780266" w:rsidP="009A7988">
            <w:r>
              <w:t>The central team provides a d</w:t>
            </w:r>
            <w:r w:rsidR="00A85983">
              <w:t>rop-i</w:t>
            </w:r>
            <w:r w:rsidRPr="00A2153B">
              <w:t>n</w:t>
            </w:r>
            <w:r>
              <w:t xml:space="preserve"> service </w:t>
            </w:r>
            <w:r w:rsidRPr="00A2153B">
              <w:t xml:space="preserve">and </w:t>
            </w:r>
            <w:r>
              <w:t>signpost</w:t>
            </w:r>
            <w:r w:rsidR="00A85983">
              <w:t>s</w:t>
            </w:r>
            <w:r>
              <w:t xml:space="preserve"> students where appropriate </w:t>
            </w:r>
            <w:r w:rsidRPr="00A2153B">
              <w:t>to external careers advice</w:t>
            </w:r>
            <w:r>
              <w:t xml:space="preserve"> such as National Careers Service (NCS)</w:t>
            </w:r>
            <w:r w:rsidRPr="00A2153B">
              <w:t>.</w:t>
            </w:r>
          </w:p>
          <w:p w:rsidR="00780266" w:rsidRPr="00A2153B" w:rsidRDefault="00780266" w:rsidP="009A7988"/>
          <w:p w:rsidR="00780266" w:rsidRDefault="00780266" w:rsidP="00710795">
            <w:r>
              <w:t>The college is part of the NCOP (National Collaboration Outreach Programme) ‘Go Higher’. This programme aims to improve social mobility and aspirations to progress to HE for students living in deprived neighbourhood</w:t>
            </w:r>
            <w:r w:rsidR="00A85983">
              <w:t>s</w:t>
            </w:r>
            <w:r>
              <w:t>.</w:t>
            </w:r>
          </w:p>
          <w:p w:rsidR="00780266" w:rsidRDefault="00780266" w:rsidP="00710795"/>
          <w:p w:rsidR="00780266" w:rsidRDefault="00780266" w:rsidP="00710795">
            <w:r>
              <w:t>The college has been awarded Matrix Quality Standards from 2017 – 2020</w:t>
            </w:r>
          </w:p>
          <w:p w:rsidR="00780266" w:rsidRDefault="00780266" w:rsidP="00710795"/>
          <w:p w:rsidR="00780266" w:rsidRPr="00257EA6" w:rsidRDefault="00780266" w:rsidP="00257EA6">
            <w:r w:rsidRPr="00257EA6">
              <w:t>Intended destinations and the careers pathways inform annual careers and work experience plans</w:t>
            </w:r>
            <w:r w:rsidR="00A85983">
              <w:t>.</w:t>
            </w:r>
          </w:p>
        </w:tc>
        <w:tc>
          <w:tcPr>
            <w:tcW w:w="284" w:type="dxa"/>
            <w:vMerge w:val="restart"/>
            <w:tcBorders>
              <w:top w:val="nil"/>
              <w:bottom w:val="nil"/>
            </w:tcBorders>
          </w:tcPr>
          <w:p w:rsidR="00780266" w:rsidRDefault="00780266" w:rsidP="00CC47D7"/>
        </w:tc>
        <w:tc>
          <w:tcPr>
            <w:tcW w:w="4819" w:type="dxa"/>
            <w:tcBorders>
              <w:bottom w:val="single" w:sz="4" w:space="0" w:color="auto"/>
            </w:tcBorders>
          </w:tcPr>
          <w:p w:rsidR="00780266" w:rsidRDefault="00780266" w:rsidP="00CC47D7">
            <w:r>
              <w:t>New stra</w:t>
            </w:r>
            <w:r w:rsidR="00A85983">
              <w:t xml:space="preserve">tegy in response to the Gatsby benchmarks and 2017 </w:t>
            </w:r>
            <w:r>
              <w:t>National Careers Strategy</w:t>
            </w:r>
            <w:r w:rsidR="00A85983">
              <w:t>.</w:t>
            </w:r>
            <w:r>
              <w:t xml:space="preserve"> </w:t>
            </w:r>
          </w:p>
          <w:p w:rsidR="00780266" w:rsidRDefault="00780266" w:rsidP="00CC47D7">
            <w:r w:rsidRPr="00B65D86">
              <w:rPr>
                <w:color w:val="808080" w:themeColor="background1" w:themeShade="80"/>
                <w:sz w:val="20"/>
                <w:szCs w:val="20"/>
              </w:rPr>
              <w:t xml:space="preserve">Gatsby Benchmark </w:t>
            </w:r>
            <w:r>
              <w:rPr>
                <w:color w:val="808080" w:themeColor="background1" w:themeShade="80"/>
                <w:sz w:val="20"/>
                <w:szCs w:val="20"/>
              </w:rPr>
              <w:t>–</w:t>
            </w:r>
            <w:r w:rsidRPr="00B65D86">
              <w:rPr>
                <w:color w:val="808080" w:themeColor="background1" w:themeShade="80"/>
                <w:sz w:val="20"/>
                <w:szCs w:val="20"/>
              </w:rPr>
              <w:t xml:space="preserve"> 1</w:t>
            </w:r>
          </w:p>
        </w:tc>
      </w:tr>
      <w:tr w:rsidR="00BE0234" w:rsidTr="00780266">
        <w:trPr>
          <w:trHeight w:val="1060"/>
        </w:trPr>
        <w:tc>
          <w:tcPr>
            <w:tcW w:w="5103" w:type="dxa"/>
            <w:gridSpan w:val="3"/>
            <w:vMerge/>
          </w:tcPr>
          <w:p w:rsidR="00BE0234" w:rsidRDefault="00BE0234" w:rsidP="009A7988"/>
        </w:tc>
        <w:tc>
          <w:tcPr>
            <w:tcW w:w="284" w:type="dxa"/>
            <w:vMerge/>
            <w:tcBorders>
              <w:top w:val="nil"/>
              <w:bottom w:val="nil"/>
            </w:tcBorders>
          </w:tcPr>
          <w:p w:rsidR="00BE0234" w:rsidRDefault="00BE0234" w:rsidP="00CC47D7"/>
        </w:tc>
        <w:tc>
          <w:tcPr>
            <w:tcW w:w="4819" w:type="dxa"/>
            <w:tcBorders>
              <w:bottom w:val="single" w:sz="4" w:space="0" w:color="auto"/>
            </w:tcBorders>
          </w:tcPr>
          <w:p w:rsidR="00BE0234" w:rsidRPr="008C04AB" w:rsidRDefault="00BE0234" w:rsidP="00BE0234">
            <w:r>
              <w:t>Work towards accreditation of the Quality in Careers Standards</w:t>
            </w:r>
            <w:r w:rsidR="00A85983">
              <w:t>.</w:t>
            </w:r>
          </w:p>
          <w:p w:rsidR="00BE0234" w:rsidRDefault="00BE0234" w:rsidP="00BE0234">
            <w:pPr>
              <w:rPr>
                <w:color w:val="808080" w:themeColor="background1" w:themeShade="80"/>
                <w:sz w:val="20"/>
                <w:szCs w:val="20"/>
              </w:rPr>
            </w:pPr>
            <w:r w:rsidRPr="00B65D86">
              <w:rPr>
                <w:color w:val="808080" w:themeColor="background1" w:themeShade="80"/>
                <w:sz w:val="20"/>
                <w:szCs w:val="20"/>
              </w:rPr>
              <w:t xml:space="preserve">Gatsby Benchmark </w:t>
            </w:r>
            <w:r>
              <w:rPr>
                <w:color w:val="808080" w:themeColor="background1" w:themeShade="80"/>
                <w:sz w:val="20"/>
                <w:szCs w:val="20"/>
              </w:rPr>
              <w:t>–</w:t>
            </w:r>
            <w:r w:rsidRPr="00B65D86">
              <w:rPr>
                <w:color w:val="808080" w:themeColor="background1" w:themeShade="80"/>
                <w:sz w:val="20"/>
                <w:szCs w:val="20"/>
              </w:rPr>
              <w:t xml:space="preserve"> 1</w:t>
            </w:r>
          </w:p>
          <w:p w:rsidR="00BE0234" w:rsidRDefault="00BE0234" w:rsidP="00CC47D7"/>
        </w:tc>
      </w:tr>
      <w:tr w:rsidR="00780266" w:rsidTr="00780266">
        <w:tc>
          <w:tcPr>
            <w:tcW w:w="5103" w:type="dxa"/>
            <w:gridSpan w:val="3"/>
            <w:vMerge/>
          </w:tcPr>
          <w:p w:rsidR="00780266" w:rsidRDefault="00780266" w:rsidP="00D372AB"/>
        </w:tc>
        <w:tc>
          <w:tcPr>
            <w:tcW w:w="284" w:type="dxa"/>
            <w:vMerge/>
            <w:tcBorders>
              <w:bottom w:val="nil"/>
            </w:tcBorders>
          </w:tcPr>
          <w:p w:rsidR="00780266" w:rsidRDefault="00780266" w:rsidP="00D372AB"/>
        </w:tc>
        <w:tc>
          <w:tcPr>
            <w:tcW w:w="4819" w:type="dxa"/>
          </w:tcPr>
          <w:p w:rsidR="00780266" w:rsidRDefault="00780266" w:rsidP="00D372AB">
            <w:r>
              <w:t xml:space="preserve">Create a brand and marketing materials </w:t>
            </w:r>
            <w:r w:rsidR="00A85983">
              <w:t>for Careers, Work Experience &amp;</w:t>
            </w:r>
            <w:r>
              <w:t xml:space="preserve"> Progression</w:t>
            </w:r>
            <w:r w:rsidR="00A85983">
              <w:t>.</w:t>
            </w:r>
          </w:p>
          <w:p w:rsidR="00780266" w:rsidRPr="00C04BEC" w:rsidRDefault="00780266" w:rsidP="00D372AB">
            <w:pPr>
              <w:rPr>
                <w:color w:val="808080" w:themeColor="background1" w:themeShade="80"/>
                <w:sz w:val="20"/>
                <w:szCs w:val="20"/>
              </w:rPr>
            </w:pPr>
            <w:r>
              <w:t>Join up between career aspiration and marketing work on sectors</w:t>
            </w:r>
            <w:r w:rsidR="00A85983">
              <w:t>.</w:t>
            </w:r>
          </w:p>
          <w:p w:rsidR="00780266" w:rsidRDefault="00780266" w:rsidP="00D372AB">
            <w:pPr>
              <w:rPr>
                <w:color w:val="808080" w:themeColor="background1" w:themeShade="80"/>
                <w:sz w:val="20"/>
                <w:szCs w:val="20"/>
              </w:rPr>
            </w:pPr>
            <w:r w:rsidRPr="00B65D86">
              <w:rPr>
                <w:color w:val="808080" w:themeColor="background1" w:themeShade="80"/>
                <w:sz w:val="20"/>
                <w:szCs w:val="20"/>
              </w:rPr>
              <w:t xml:space="preserve">Gatsby Benchmark </w:t>
            </w:r>
            <w:r>
              <w:rPr>
                <w:color w:val="808080" w:themeColor="background1" w:themeShade="80"/>
                <w:sz w:val="20"/>
                <w:szCs w:val="20"/>
              </w:rPr>
              <w:t>–</w:t>
            </w:r>
            <w:r w:rsidRPr="00B65D86">
              <w:rPr>
                <w:color w:val="808080" w:themeColor="background1" w:themeShade="80"/>
                <w:sz w:val="20"/>
                <w:szCs w:val="20"/>
              </w:rPr>
              <w:t xml:space="preserve"> 1</w:t>
            </w:r>
            <w:r>
              <w:rPr>
                <w:color w:val="808080" w:themeColor="background1" w:themeShade="80"/>
                <w:sz w:val="20"/>
                <w:szCs w:val="20"/>
              </w:rPr>
              <w:t>,5,6</w:t>
            </w:r>
          </w:p>
          <w:p w:rsidR="00E308E1" w:rsidRDefault="00E308E1" w:rsidP="00D372AB"/>
        </w:tc>
      </w:tr>
      <w:tr w:rsidR="00780266" w:rsidTr="00780266">
        <w:trPr>
          <w:trHeight w:val="990"/>
        </w:trPr>
        <w:tc>
          <w:tcPr>
            <w:tcW w:w="5103" w:type="dxa"/>
            <w:gridSpan w:val="3"/>
            <w:vMerge/>
          </w:tcPr>
          <w:p w:rsidR="00780266" w:rsidRDefault="00780266" w:rsidP="00D372AB"/>
        </w:tc>
        <w:tc>
          <w:tcPr>
            <w:tcW w:w="284" w:type="dxa"/>
            <w:vMerge/>
            <w:tcBorders>
              <w:bottom w:val="nil"/>
            </w:tcBorders>
          </w:tcPr>
          <w:p w:rsidR="00780266" w:rsidRDefault="00780266" w:rsidP="00D372AB"/>
        </w:tc>
        <w:tc>
          <w:tcPr>
            <w:tcW w:w="4819" w:type="dxa"/>
          </w:tcPr>
          <w:p w:rsidR="00780266" w:rsidRDefault="00780266" w:rsidP="00D372AB">
            <w:pPr>
              <w:spacing w:line="259" w:lineRule="auto"/>
            </w:pPr>
            <w:r>
              <w:t>Drive social mobility activities incl</w:t>
            </w:r>
            <w:r w:rsidR="00A85983">
              <w:t>uding aspiration and motivation.</w:t>
            </w:r>
          </w:p>
          <w:p w:rsidR="00780266" w:rsidRPr="00B65D86" w:rsidRDefault="00780266" w:rsidP="00D372AB">
            <w:pPr>
              <w:spacing w:line="259" w:lineRule="auto"/>
              <w:rPr>
                <w:sz w:val="20"/>
                <w:szCs w:val="20"/>
              </w:rPr>
            </w:pPr>
            <w:r w:rsidRPr="00B65D86">
              <w:rPr>
                <w:color w:val="808080" w:themeColor="background1" w:themeShade="80"/>
                <w:sz w:val="20"/>
                <w:szCs w:val="20"/>
              </w:rPr>
              <w:t>Gatsby Benchmark - 1,3,5,7</w:t>
            </w:r>
          </w:p>
        </w:tc>
      </w:tr>
      <w:tr w:rsidR="00780266" w:rsidTr="00780266">
        <w:trPr>
          <w:trHeight w:val="990"/>
        </w:trPr>
        <w:tc>
          <w:tcPr>
            <w:tcW w:w="5103" w:type="dxa"/>
            <w:gridSpan w:val="3"/>
            <w:vMerge/>
          </w:tcPr>
          <w:p w:rsidR="00780266" w:rsidRDefault="00780266" w:rsidP="00D372AB"/>
        </w:tc>
        <w:tc>
          <w:tcPr>
            <w:tcW w:w="284" w:type="dxa"/>
            <w:vMerge/>
            <w:tcBorders>
              <w:bottom w:val="nil"/>
            </w:tcBorders>
          </w:tcPr>
          <w:p w:rsidR="00780266" w:rsidRDefault="00780266" w:rsidP="00D372AB"/>
        </w:tc>
        <w:tc>
          <w:tcPr>
            <w:tcW w:w="4819" w:type="dxa"/>
          </w:tcPr>
          <w:p w:rsidR="00780266" w:rsidRDefault="00A85983" w:rsidP="00D372AB">
            <w:r>
              <w:t>Establish systems and</w:t>
            </w:r>
            <w:r w:rsidR="00780266">
              <w:t xml:space="preserve"> processes to enable departments to collect students</w:t>
            </w:r>
            <w:r>
              <w:t>’</w:t>
            </w:r>
            <w:r w:rsidR="00780266">
              <w:t xml:space="preserve"> intended and actual destinations</w:t>
            </w:r>
            <w:r>
              <w:t>.</w:t>
            </w:r>
          </w:p>
          <w:p w:rsidR="00780266" w:rsidRDefault="00780266" w:rsidP="00D372AB">
            <w:r>
              <w:t>Analyse data to understand patterns in progression against career plans</w:t>
            </w:r>
            <w:r w:rsidR="00A85983">
              <w:t>.</w:t>
            </w:r>
          </w:p>
          <w:p w:rsidR="00780266" w:rsidRDefault="00780266" w:rsidP="00D372AB">
            <w:r>
              <w:t>Centrally collect and report on stud</w:t>
            </w:r>
            <w:r w:rsidR="00A85983">
              <w:t xml:space="preserve">ent destinations at college and at </w:t>
            </w:r>
            <w:r>
              <w:t>department level</w:t>
            </w:r>
            <w:r w:rsidR="00A85983">
              <w:t>.</w:t>
            </w:r>
          </w:p>
          <w:p w:rsidR="00780266" w:rsidRDefault="00780266" w:rsidP="00D372AB">
            <w:pPr>
              <w:rPr>
                <w:color w:val="808080" w:themeColor="background1" w:themeShade="80"/>
                <w:sz w:val="20"/>
                <w:szCs w:val="20"/>
              </w:rPr>
            </w:pPr>
            <w:r w:rsidRPr="00B65D86">
              <w:rPr>
                <w:color w:val="808080" w:themeColor="background1" w:themeShade="80"/>
                <w:sz w:val="20"/>
                <w:szCs w:val="20"/>
              </w:rPr>
              <w:t xml:space="preserve">Gatsby Benchmark </w:t>
            </w:r>
            <w:r>
              <w:rPr>
                <w:color w:val="808080" w:themeColor="background1" w:themeShade="80"/>
                <w:sz w:val="20"/>
                <w:szCs w:val="20"/>
              </w:rPr>
              <w:t>–</w:t>
            </w:r>
            <w:r w:rsidRPr="00B65D86">
              <w:rPr>
                <w:color w:val="808080" w:themeColor="background1" w:themeShade="80"/>
                <w:sz w:val="20"/>
                <w:szCs w:val="20"/>
              </w:rPr>
              <w:t xml:space="preserve"> 1</w:t>
            </w:r>
          </w:p>
          <w:p w:rsidR="00E308E1" w:rsidRDefault="00E308E1" w:rsidP="00D372AB"/>
        </w:tc>
      </w:tr>
      <w:tr w:rsidR="00780266" w:rsidTr="00465733">
        <w:trPr>
          <w:trHeight w:val="1605"/>
        </w:trPr>
        <w:tc>
          <w:tcPr>
            <w:tcW w:w="5103" w:type="dxa"/>
            <w:gridSpan w:val="3"/>
            <w:vMerge/>
            <w:tcBorders>
              <w:bottom w:val="single" w:sz="4" w:space="0" w:color="auto"/>
            </w:tcBorders>
          </w:tcPr>
          <w:p w:rsidR="00780266" w:rsidRDefault="00780266" w:rsidP="00D372AB"/>
        </w:tc>
        <w:tc>
          <w:tcPr>
            <w:tcW w:w="284" w:type="dxa"/>
            <w:vMerge/>
            <w:tcBorders>
              <w:bottom w:val="single" w:sz="4" w:space="0" w:color="auto"/>
            </w:tcBorders>
          </w:tcPr>
          <w:p w:rsidR="00780266" w:rsidRDefault="00780266" w:rsidP="00CC47D7"/>
        </w:tc>
        <w:tc>
          <w:tcPr>
            <w:tcW w:w="4819" w:type="dxa"/>
            <w:tcBorders>
              <w:bottom w:val="single" w:sz="4" w:space="0" w:color="auto"/>
            </w:tcBorders>
          </w:tcPr>
          <w:p w:rsidR="00780266" w:rsidRDefault="00780266" w:rsidP="00CC47D7">
            <w:r>
              <w:t>Build quality processes and checks to ensure that the quality is measured and is impactful to the student experience and their positive destinations. Thi</w:t>
            </w:r>
            <w:r w:rsidR="004204A6">
              <w:t>s informs intended destinations.</w:t>
            </w:r>
          </w:p>
          <w:p w:rsidR="00780266" w:rsidRDefault="00780266" w:rsidP="00D372AB">
            <w:r w:rsidRPr="00B65D86">
              <w:rPr>
                <w:color w:val="808080" w:themeColor="background1" w:themeShade="80"/>
                <w:sz w:val="20"/>
                <w:szCs w:val="20"/>
              </w:rPr>
              <w:t xml:space="preserve">Gatsby Benchmark </w:t>
            </w:r>
            <w:r>
              <w:rPr>
                <w:color w:val="808080" w:themeColor="background1" w:themeShade="80"/>
                <w:sz w:val="20"/>
                <w:szCs w:val="20"/>
              </w:rPr>
              <w:t>–</w:t>
            </w:r>
            <w:r w:rsidRPr="00B65D86">
              <w:rPr>
                <w:color w:val="808080" w:themeColor="background1" w:themeShade="80"/>
                <w:sz w:val="20"/>
                <w:szCs w:val="20"/>
              </w:rPr>
              <w:t xml:space="preserve"> 1</w:t>
            </w:r>
          </w:p>
        </w:tc>
      </w:tr>
      <w:tr w:rsidR="00780266" w:rsidTr="00465733">
        <w:tc>
          <w:tcPr>
            <w:tcW w:w="10206" w:type="dxa"/>
            <w:gridSpan w:val="5"/>
            <w:tcBorders>
              <w:left w:val="single" w:sz="4" w:space="0" w:color="auto"/>
              <w:right w:val="single" w:sz="4" w:space="0" w:color="auto"/>
            </w:tcBorders>
          </w:tcPr>
          <w:p w:rsidR="00780266" w:rsidRDefault="00780266" w:rsidP="00E241F4">
            <w:pPr>
              <w:jc w:val="center"/>
              <w:rPr>
                <w:b/>
              </w:rPr>
            </w:pPr>
          </w:p>
          <w:p w:rsidR="00780266" w:rsidRDefault="00780266" w:rsidP="00E241F4">
            <w:pPr>
              <w:jc w:val="center"/>
            </w:pPr>
            <w:r>
              <w:rPr>
                <w:b/>
              </w:rPr>
              <w:t>Curriculum Delivery</w:t>
            </w:r>
          </w:p>
        </w:tc>
      </w:tr>
      <w:tr w:rsidR="0076319E" w:rsidTr="00BE0234">
        <w:tc>
          <w:tcPr>
            <w:tcW w:w="5103" w:type="dxa"/>
            <w:gridSpan w:val="3"/>
            <w:vMerge w:val="restart"/>
          </w:tcPr>
          <w:p w:rsidR="0076319E" w:rsidRDefault="0076319E" w:rsidP="009A7988">
            <w:r>
              <w:t xml:space="preserve">The centralised team </w:t>
            </w:r>
            <w:r w:rsidRPr="00590CFF">
              <w:t>prov</w:t>
            </w:r>
            <w:r>
              <w:t>ide</w:t>
            </w:r>
            <w:r w:rsidR="004204A6">
              <w:t>s</w:t>
            </w:r>
            <w:r>
              <w:t xml:space="preserve"> professional and impartial information, a</w:t>
            </w:r>
            <w:r w:rsidRPr="00590CFF">
              <w:t>dvic</w:t>
            </w:r>
            <w:r>
              <w:t>e and g</w:t>
            </w:r>
            <w:r w:rsidRPr="00590CFF">
              <w:t xml:space="preserve">uidance to staff and students </w:t>
            </w:r>
            <w:r>
              <w:t>about labour market i</w:t>
            </w:r>
            <w:r w:rsidRPr="00590CFF">
              <w:t>nformation</w:t>
            </w:r>
            <w:r>
              <w:t xml:space="preserve"> (LMI)</w:t>
            </w:r>
            <w:r w:rsidRPr="00590CFF">
              <w:t xml:space="preserve">, which </w:t>
            </w:r>
            <w:r>
              <w:t xml:space="preserve">is </w:t>
            </w:r>
            <w:r w:rsidRPr="00590CFF">
              <w:t>accessible and embed</w:t>
            </w:r>
            <w:r w:rsidR="004204A6">
              <w:t>ded</w:t>
            </w:r>
            <w:r w:rsidRPr="00590CFF">
              <w:t xml:space="preserve"> into course programmes</w:t>
            </w:r>
            <w:r w:rsidR="004204A6">
              <w:t xml:space="preserve"> through Google careers classrooms and Career</w:t>
            </w:r>
            <w:r>
              <w:t xml:space="preserve"> Coach.</w:t>
            </w:r>
          </w:p>
          <w:p w:rsidR="0076319E" w:rsidRDefault="0076319E" w:rsidP="009A7988"/>
          <w:p w:rsidR="0076319E" w:rsidRDefault="0076319E" w:rsidP="009A7988">
            <w:r w:rsidRPr="00590CFF">
              <w:t xml:space="preserve">The careers team </w:t>
            </w:r>
            <w:r>
              <w:t>provide</w:t>
            </w:r>
            <w:r w:rsidR="004204A6">
              <w:t>s</w:t>
            </w:r>
            <w:r>
              <w:t xml:space="preserve"> </w:t>
            </w:r>
            <w:r w:rsidR="004204A6">
              <w:t>training sessions to c</w:t>
            </w:r>
            <w:r w:rsidRPr="00590CFF">
              <w:t xml:space="preserve">urriculum teams </w:t>
            </w:r>
            <w:r>
              <w:t xml:space="preserve">to enable staff to </w:t>
            </w:r>
            <w:r w:rsidR="004204A6">
              <w:t>utilise</w:t>
            </w:r>
            <w:r w:rsidRPr="00590CFF">
              <w:t xml:space="preserve"> </w:t>
            </w:r>
            <w:r>
              <w:t>LMI</w:t>
            </w:r>
            <w:r w:rsidRPr="00590CFF">
              <w:t xml:space="preserve"> software</w:t>
            </w:r>
            <w:r w:rsidR="004204A6">
              <w:t>, UCAS applications and</w:t>
            </w:r>
            <w:r>
              <w:t xml:space="preserve"> employability workshops to support their students</w:t>
            </w:r>
            <w:r w:rsidR="004204A6">
              <w:t>’</w:t>
            </w:r>
            <w:r>
              <w:t xml:space="preserve"> career planning</w:t>
            </w:r>
            <w:r w:rsidR="004204A6">
              <w:t>.</w:t>
            </w:r>
          </w:p>
          <w:p w:rsidR="0076319E" w:rsidRDefault="0076319E" w:rsidP="009A7988"/>
          <w:p w:rsidR="0076319E" w:rsidRDefault="0076319E" w:rsidP="009A7988">
            <w:r>
              <w:t>Careers IAG and LMI is delivered through the tutorial programme supported by digital tools, resources and staff training</w:t>
            </w:r>
            <w:r w:rsidRPr="00A2153B">
              <w:t>.</w:t>
            </w:r>
          </w:p>
          <w:p w:rsidR="004204A6" w:rsidRPr="00A2153B" w:rsidRDefault="004204A6" w:rsidP="009A7988"/>
          <w:p w:rsidR="0076319E" w:rsidRDefault="0076319E" w:rsidP="009A7988">
            <w:r w:rsidRPr="00A2153B">
              <w:t>IAG training started in 2016/17 for student support staff</w:t>
            </w:r>
            <w:r w:rsidR="004204A6">
              <w:t>.</w:t>
            </w:r>
          </w:p>
          <w:p w:rsidR="0076319E" w:rsidRDefault="0076319E" w:rsidP="009A7988"/>
          <w:p w:rsidR="0076319E" w:rsidRDefault="0076319E" w:rsidP="008B200C">
            <w:r>
              <w:t>Every student receives career</w:t>
            </w:r>
            <w:r w:rsidR="004204A6">
              <w:t>s</w:t>
            </w:r>
            <w:r>
              <w:t xml:space="preserve"> planning, resources and delivery </w:t>
            </w:r>
            <w:r w:rsidR="004204A6">
              <w:t xml:space="preserve">which </w:t>
            </w:r>
            <w:r>
              <w:t>are differentiated to meet individual learning support needs.</w:t>
            </w:r>
          </w:p>
          <w:p w:rsidR="004204A6" w:rsidRDefault="004204A6" w:rsidP="008B200C"/>
          <w:p w:rsidR="0076319E" w:rsidRDefault="004204A6" w:rsidP="009A7988">
            <w:r>
              <w:t>The independent s</w:t>
            </w:r>
            <w:r w:rsidR="0076319E">
              <w:t>tudy ‘Careers Planni</w:t>
            </w:r>
            <w:r>
              <w:t>ng’ is aligned to literacy</w:t>
            </w:r>
            <w:r w:rsidR="0001628B">
              <w:t>, numeracy</w:t>
            </w:r>
            <w:r w:rsidR="0076319E">
              <w:t xml:space="preserve"> and digital skills.</w:t>
            </w:r>
          </w:p>
          <w:p w:rsidR="004204A6" w:rsidRDefault="004204A6" w:rsidP="009A7988"/>
          <w:p w:rsidR="0076319E" w:rsidRDefault="0076319E" w:rsidP="009A7988">
            <w:r>
              <w:t>Every student to receive career planning</w:t>
            </w:r>
            <w:r w:rsidR="004204A6">
              <w:t>.</w:t>
            </w:r>
            <w:r>
              <w:t xml:space="preserve"> </w:t>
            </w:r>
          </w:p>
          <w:p w:rsidR="0076319E" w:rsidRDefault="0076319E" w:rsidP="009A7988"/>
          <w:p w:rsidR="0076319E" w:rsidRDefault="0076319E" w:rsidP="009A7988">
            <w:r>
              <w:t>Curriculum departments are able to build their careers plans from the careers menu, careers classrooms and brokered activities and engagement informed by career pathways.</w:t>
            </w:r>
          </w:p>
          <w:p w:rsidR="004204A6" w:rsidRDefault="004204A6" w:rsidP="009A7988"/>
          <w:p w:rsidR="0076319E" w:rsidRDefault="004204A6" w:rsidP="009A7988">
            <w:r>
              <w:t>Careers classrooms link job</w:t>
            </w:r>
            <w:r w:rsidR="0076319E">
              <w:t xml:space="preserve"> options to LMI data and are sector specific to curriculum departments.</w:t>
            </w:r>
          </w:p>
          <w:p w:rsidR="0076319E" w:rsidRDefault="0076319E" w:rsidP="009A7988">
            <w:r>
              <w:t>Others are more generic in content, informing students and staff of the knowledge, actions and skills that are required for careers manage</w:t>
            </w:r>
            <w:r w:rsidR="004204A6">
              <w:t>ment including progression to apprenticeships, HE and y</w:t>
            </w:r>
            <w:r>
              <w:t>ear 11+.</w:t>
            </w:r>
          </w:p>
          <w:p w:rsidR="0076319E" w:rsidRDefault="0076319E" w:rsidP="009A7988"/>
          <w:p w:rsidR="0076319E" w:rsidRDefault="0076319E" w:rsidP="009A7988">
            <w:r>
              <w:t>Other forums have been established to promote opportunities and engagement for students:</w:t>
            </w:r>
          </w:p>
          <w:p w:rsidR="0076319E" w:rsidRDefault="0076319E" w:rsidP="009A7988">
            <w:pPr>
              <w:pStyle w:val="ListParagraph"/>
              <w:numPr>
                <w:ilvl w:val="0"/>
                <w:numId w:val="28"/>
              </w:numPr>
            </w:pPr>
            <w:r>
              <w:t>Google Community – jobs-part/time</w:t>
            </w:r>
          </w:p>
          <w:p w:rsidR="0076319E" w:rsidRDefault="0076319E" w:rsidP="009A7988">
            <w:pPr>
              <w:pStyle w:val="ListParagraph"/>
              <w:numPr>
                <w:ilvl w:val="0"/>
                <w:numId w:val="28"/>
              </w:numPr>
            </w:pPr>
            <w:r>
              <w:t>Social Media – Student Life Facebook page</w:t>
            </w:r>
          </w:p>
          <w:p w:rsidR="0076319E" w:rsidRDefault="0076319E" w:rsidP="009A7988">
            <w:pPr>
              <w:pStyle w:val="ListParagraph"/>
              <w:numPr>
                <w:ilvl w:val="0"/>
                <w:numId w:val="28"/>
              </w:numPr>
            </w:pPr>
            <w:r>
              <w:t>Staff Intranet</w:t>
            </w:r>
          </w:p>
          <w:p w:rsidR="0076319E" w:rsidRDefault="0076319E" w:rsidP="005175B1"/>
          <w:p w:rsidR="0076319E" w:rsidRDefault="0076319E" w:rsidP="005175B1">
            <w:r w:rsidRPr="00A2153B">
              <w:t>Students o</w:t>
            </w:r>
            <w:r w:rsidR="004204A6">
              <w:t>n study programmes w</w:t>
            </w:r>
            <w:r w:rsidRPr="00A2153B">
              <w:t>ere work ready</w:t>
            </w:r>
            <w:r>
              <w:t>;</w:t>
            </w:r>
            <w:r w:rsidRPr="00A2153B">
              <w:t xml:space="preserve"> participate in </w:t>
            </w:r>
            <w:r>
              <w:t xml:space="preserve">meaningful </w:t>
            </w:r>
            <w:r w:rsidRPr="00A2153B">
              <w:t>work</w:t>
            </w:r>
            <w:r>
              <w:t xml:space="preserve"> placements, some of which are EU based through the Erasmus+ programme. Students who are not able to attend external work placements are involved in social action projects, work tasters, work simulation, volunteering and internal placements.</w:t>
            </w:r>
          </w:p>
          <w:p w:rsidR="0076319E" w:rsidRDefault="0076319E" w:rsidP="005175B1">
            <w:r>
              <w:t xml:space="preserve">An </w:t>
            </w:r>
            <w:r w:rsidRPr="00A2153B">
              <w:t xml:space="preserve">Ahead Partnership secondment started </w:t>
            </w:r>
            <w:r>
              <w:t xml:space="preserve">in </w:t>
            </w:r>
            <w:r w:rsidRPr="00A2153B">
              <w:t>Nov 17 to develop links / opportunities with employers (particularly where engagement gaps exist)</w:t>
            </w:r>
          </w:p>
          <w:p w:rsidR="0076319E" w:rsidRDefault="0076319E" w:rsidP="0076319E">
            <w:pPr>
              <w:pBdr>
                <w:top w:val="nil"/>
                <w:left w:val="nil"/>
                <w:bottom w:val="nil"/>
                <w:right w:val="nil"/>
                <w:between w:val="nil"/>
              </w:pBdr>
              <w:contextualSpacing/>
              <w:rPr>
                <w:color w:val="FF0000"/>
              </w:rPr>
            </w:pPr>
          </w:p>
          <w:p w:rsidR="0076319E" w:rsidRDefault="0076319E" w:rsidP="0076319E">
            <w:pPr>
              <w:pBdr>
                <w:top w:val="nil"/>
                <w:left w:val="nil"/>
                <w:bottom w:val="nil"/>
                <w:right w:val="nil"/>
                <w:between w:val="nil"/>
              </w:pBdr>
              <w:contextualSpacing/>
              <w:rPr>
                <w:color w:val="FF0000"/>
              </w:rPr>
            </w:pPr>
          </w:p>
          <w:p w:rsidR="0076319E" w:rsidRPr="00120B91" w:rsidRDefault="00B776A6" w:rsidP="0076319E">
            <w:pPr>
              <w:pBdr>
                <w:top w:val="nil"/>
                <w:left w:val="nil"/>
                <w:bottom w:val="nil"/>
                <w:right w:val="nil"/>
                <w:between w:val="nil"/>
              </w:pBdr>
              <w:contextualSpacing/>
            </w:pPr>
            <w:r w:rsidRPr="00120B91">
              <w:t>Students participate in meaningful enrichment activities that build employability and social skills. Students are able to engage in leadership opportunities through student voice, student leaders and Duke of Edinburgh award as well as participating in sport/physical activities, skills based activities and student led societies.</w:t>
            </w:r>
          </w:p>
          <w:p w:rsidR="0076319E" w:rsidRPr="00E241F4" w:rsidRDefault="0076319E" w:rsidP="0076319E">
            <w:pPr>
              <w:pBdr>
                <w:top w:val="nil"/>
                <w:left w:val="nil"/>
                <w:bottom w:val="nil"/>
                <w:right w:val="nil"/>
                <w:between w:val="nil"/>
              </w:pBdr>
              <w:contextualSpacing/>
              <w:rPr>
                <w:sz w:val="20"/>
                <w:szCs w:val="20"/>
              </w:rPr>
            </w:pPr>
          </w:p>
        </w:tc>
        <w:tc>
          <w:tcPr>
            <w:tcW w:w="284" w:type="dxa"/>
            <w:vMerge w:val="restart"/>
            <w:tcBorders>
              <w:top w:val="single" w:sz="4" w:space="0" w:color="auto"/>
            </w:tcBorders>
          </w:tcPr>
          <w:p w:rsidR="0076319E" w:rsidRDefault="0076319E" w:rsidP="009A7988"/>
        </w:tc>
        <w:tc>
          <w:tcPr>
            <w:tcW w:w="4819" w:type="dxa"/>
          </w:tcPr>
          <w:p w:rsidR="0076319E" w:rsidRDefault="0076319E" w:rsidP="009A7988">
            <w:r>
              <w:t xml:space="preserve">Within each department identify a careers leader to cascade and drive the use of information and resources by colleagues to ensure students are able to use careers information to </w:t>
            </w:r>
            <w:r w:rsidR="004204A6">
              <w:t>support their individual career</w:t>
            </w:r>
            <w:r>
              <w:t xml:space="preserve"> plan</w:t>
            </w:r>
            <w:r w:rsidR="004204A6">
              <w:t>s.</w:t>
            </w:r>
            <w:r>
              <w:t xml:space="preserve">   </w:t>
            </w:r>
          </w:p>
          <w:p w:rsidR="0076319E" w:rsidRDefault="0076319E" w:rsidP="009A7988">
            <w:pPr>
              <w:rPr>
                <w:color w:val="808080" w:themeColor="background1" w:themeShade="80"/>
                <w:sz w:val="20"/>
                <w:szCs w:val="20"/>
              </w:rPr>
            </w:pPr>
            <w:r w:rsidRPr="00B65D86">
              <w:rPr>
                <w:color w:val="808080" w:themeColor="background1" w:themeShade="80"/>
                <w:sz w:val="20"/>
                <w:szCs w:val="20"/>
              </w:rPr>
              <w:t xml:space="preserve">Gatsby Benchmark </w:t>
            </w:r>
            <w:r w:rsidR="00702A07">
              <w:rPr>
                <w:color w:val="808080" w:themeColor="background1" w:themeShade="80"/>
                <w:sz w:val="20"/>
                <w:szCs w:val="20"/>
              </w:rPr>
              <w:t>–</w:t>
            </w:r>
            <w:r w:rsidRPr="00B65D86">
              <w:rPr>
                <w:color w:val="808080" w:themeColor="background1" w:themeShade="80"/>
                <w:sz w:val="20"/>
                <w:szCs w:val="20"/>
              </w:rPr>
              <w:t xml:space="preserve"> </w:t>
            </w:r>
            <w:r>
              <w:rPr>
                <w:color w:val="808080" w:themeColor="background1" w:themeShade="80"/>
                <w:sz w:val="20"/>
                <w:szCs w:val="20"/>
              </w:rPr>
              <w:t>4</w:t>
            </w:r>
          </w:p>
          <w:p w:rsidR="00702A07" w:rsidRDefault="00702A07" w:rsidP="009A7988"/>
        </w:tc>
      </w:tr>
      <w:tr w:rsidR="0076319E" w:rsidTr="00780266">
        <w:tc>
          <w:tcPr>
            <w:tcW w:w="5103" w:type="dxa"/>
            <w:gridSpan w:val="3"/>
            <w:vMerge/>
          </w:tcPr>
          <w:p w:rsidR="0076319E" w:rsidRDefault="0076319E" w:rsidP="0076319E">
            <w:pPr>
              <w:pBdr>
                <w:top w:val="nil"/>
                <w:left w:val="nil"/>
                <w:bottom w:val="nil"/>
                <w:right w:val="nil"/>
                <w:between w:val="nil"/>
              </w:pBdr>
              <w:contextualSpacing/>
            </w:pPr>
          </w:p>
        </w:tc>
        <w:tc>
          <w:tcPr>
            <w:tcW w:w="284" w:type="dxa"/>
            <w:vMerge/>
          </w:tcPr>
          <w:p w:rsidR="0076319E" w:rsidRDefault="0076319E" w:rsidP="009A7988">
            <w:pPr>
              <w:pBdr>
                <w:top w:val="nil"/>
                <w:left w:val="nil"/>
                <w:bottom w:val="nil"/>
                <w:right w:val="nil"/>
                <w:between w:val="nil"/>
              </w:pBdr>
              <w:contextualSpacing/>
            </w:pPr>
          </w:p>
        </w:tc>
        <w:tc>
          <w:tcPr>
            <w:tcW w:w="4819" w:type="dxa"/>
          </w:tcPr>
          <w:p w:rsidR="0076319E" w:rsidRDefault="0076319E" w:rsidP="009A7988">
            <w:pPr>
              <w:pBdr>
                <w:top w:val="nil"/>
                <w:left w:val="nil"/>
                <w:bottom w:val="nil"/>
                <w:right w:val="nil"/>
                <w:between w:val="nil"/>
              </w:pBdr>
              <w:contextualSpacing/>
            </w:pPr>
            <w:r>
              <w:t>Training for coaching tuto</w:t>
            </w:r>
            <w:r w:rsidR="004204A6">
              <w:t xml:space="preserve">rs and curriculum careers leads is required </w:t>
            </w:r>
            <w:r>
              <w:t xml:space="preserve">on the following good practice approaches to: </w:t>
            </w:r>
          </w:p>
          <w:p w:rsidR="0076319E" w:rsidRDefault="0076319E" w:rsidP="009A7988">
            <w:pPr>
              <w:pStyle w:val="ListParagraph"/>
              <w:numPr>
                <w:ilvl w:val="0"/>
                <w:numId w:val="25"/>
              </w:numPr>
              <w:pBdr>
                <w:top w:val="nil"/>
                <w:left w:val="nil"/>
                <w:bottom w:val="nil"/>
                <w:right w:val="nil"/>
                <w:between w:val="nil"/>
              </w:pBdr>
            </w:pPr>
            <w:r>
              <w:t>giving advice to students about progression choices and ensuring that these choices are attainable for each student</w:t>
            </w:r>
          </w:p>
          <w:p w:rsidR="0076319E" w:rsidRDefault="0076319E" w:rsidP="009A7988">
            <w:pPr>
              <w:pStyle w:val="ListParagraph"/>
              <w:numPr>
                <w:ilvl w:val="0"/>
                <w:numId w:val="25"/>
              </w:numPr>
              <w:pBdr>
                <w:top w:val="nil"/>
                <w:left w:val="nil"/>
                <w:bottom w:val="nil"/>
                <w:right w:val="nil"/>
                <w:between w:val="nil"/>
              </w:pBdr>
            </w:pPr>
            <w:r>
              <w:t>One to one action planning</w:t>
            </w:r>
          </w:p>
          <w:p w:rsidR="0076319E" w:rsidRDefault="0076319E" w:rsidP="009A7988">
            <w:pPr>
              <w:pStyle w:val="ListParagraph"/>
              <w:numPr>
                <w:ilvl w:val="0"/>
                <w:numId w:val="25"/>
              </w:numPr>
              <w:pBdr>
                <w:top w:val="nil"/>
                <w:left w:val="nil"/>
                <w:bottom w:val="nil"/>
                <w:right w:val="nil"/>
                <w:between w:val="nil"/>
              </w:pBdr>
            </w:pPr>
            <w:r>
              <w:t>How to find and use good quality LMI</w:t>
            </w:r>
          </w:p>
          <w:p w:rsidR="0076319E" w:rsidRDefault="0076319E" w:rsidP="009A7988">
            <w:pPr>
              <w:pStyle w:val="ListParagraph"/>
              <w:numPr>
                <w:ilvl w:val="0"/>
                <w:numId w:val="25"/>
              </w:numPr>
              <w:pBdr>
                <w:top w:val="nil"/>
                <w:left w:val="nil"/>
                <w:bottom w:val="nil"/>
                <w:right w:val="nil"/>
                <w:between w:val="nil"/>
              </w:pBdr>
            </w:pPr>
            <w:r>
              <w:t xml:space="preserve">Promote use of resources selected and developed by the careers team </w:t>
            </w:r>
          </w:p>
          <w:p w:rsidR="0076319E" w:rsidRDefault="0076319E" w:rsidP="009A7988">
            <w:pPr>
              <w:pStyle w:val="ListParagraph"/>
              <w:numPr>
                <w:ilvl w:val="0"/>
                <w:numId w:val="25"/>
              </w:numPr>
              <w:pBdr>
                <w:top w:val="nil"/>
                <w:left w:val="nil"/>
                <w:bottom w:val="nil"/>
                <w:right w:val="nil"/>
                <w:between w:val="nil"/>
              </w:pBdr>
            </w:pPr>
            <w:r>
              <w:t>Skills development to support students</w:t>
            </w:r>
            <w:r w:rsidR="004204A6">
              <w:t>’</w:t>
            </w:r>
            <w:r>
              <w:t xml:space="preserve"> transition to their next destination, for example CVs and applications for apprenticeships, HE and jobs</w:t>
            </w:r>
            <w:r w:rsidR="004204A6">
              <w:t>.</w:t>
            </w:r>
          </w:p>
          <w:p w:rsidR="0076319E" w:rsidRDefault="0076319E" w:rsidP="009A7988">
            <w:pPr>
              <w:pBdr>
                <w:top w:val="nil"/>
                <w:left w:val="nil"/>
                <w:bottom w:val="nil"/>
                <w:right w:val="nil"/>
                <w:between w:val="nil"/>
              </w:pBdr>
              <w:spacing w:line="276" w:lineRule="auto"/>
            </w:pPr>
            <w:r w:rsidRPr="00B65D86">
              <w:rPr>
                <w:color w:val="808080" w:themeColor="background1" w:themeShade="80"/>
                <w:sz w:val="20"/>
                <w:szCs w:val="20"/>
              </w:rPr>
              <w:t xml:space="preserve">Gatsby Benchmark </w:t>
            </w:r>
            <w:r>
              <w:rPr>
                <w:color w:val="808080" w:themeColor="background1" w:themeShade="80"/>
                <w:sz w:val="20"/>
                <w:szCs w:val="20"/>
              </w:rPr>
              <w:t>–</w:t>
            </w:r>
            <w:r w:rsidRPr="00B65D86">
              <w:rPr>
                <w:color w:val="808080" w:themeColor="background1" w:themeShade="80"/>
                <w:sz w:val="20"/>
                <w:szCs w:val="20"/>
              </w:rPr>
              <w:t xml:space="preserve"> </w:t>
            </w:r>
            <w:r>
              <w:rPr>
                <w:color w:val="808080" w:themeColor="background1" w:themeShade="80"/>
                <w:sz w:val="20"/>
                <w:szCs w:val="20"/>
              </w:rPr>
              <w:t>2,3,4</w:t>
            </w:r>
          </w:p>
        </w:tc>
      </w:tr>
      <w:tr w:rsidR="0076319E" w:rsidTr="00780266">
        <w:tc>
          <w:tcPr>
            <w:tcW w:w="5103" w:type="dxa"/>
            <w:gridSpan w:val="3"/>
            <w:vMerge/>
          </w:tcPr>
          <w:p w:rsidR="0076319E" w:rsidRDefault="0076319E" w:rsidP="0076319E">
            <w:pPr>
              <w:pBdr>
                <w:top w:val="nil"/>
                <w:left w:val="nil"/>
                <w:bottom w:val="nil"/>
                <w:right w:val="nil"/>
                <w:between w:val="nil"/>
              </w:pBdr>
              <w:contextualSpacing/>
            </w:pPr>
          </w:p>
        </w:tc>
        <w:tc>
          <w:tcPr>
            <w:tcW w:w="284" w:type="dxa"/>
            <w:vMerge/>
          </w:tcPr>
          <w:p w:rsidR="0076319E" w:rsidRDefault="0076319E" w:rsidP="009A7988">
            <w:pPr>
              <w:pBdr>
                <w:top w:val="nil"/>
                <w:left w:val="nil"/>
                <w:bottom w:val="nil"/>
                <w:right w:val="nil"/>
                <w:between w:val="nil"/>
              </w:pBdr>
              <w:contextualSpacing/>
            </w:pPr>
          </w:p>
        </w:tc>
        <w:tc>
          <w:tcPr>
            <w:tcW w:w="4819" w:type="dxa"/>
          </w:tcPr>
          <w:p w:rsidR="0076319E" w:rsidRDefault="004204A6" w:rsidP="009A7988">
            <w:pPr>
              <w:pBdr>
                <w:top w:val="nil"/>
                <w:left w:val="nil"/>
                <w:bottom w:val="nil"/>
                <w:right w:val="nil"/>
                <w:between w:val="nil"/>
              </w:pBdr>
              <w:contextualSpacing/>
            </w:pPr>
            <w:r>
              <w:t>Embed i</w:t>
            </w:r>
            <w:r w:rsidR="0076319E">
              <w:t>ndependent study (personalised careers plan) supported through tutorial programme (January 18). Monitor the completion and quality of work</w:t>
            </w:r>
            <w:r>
              <w:t>.</w:t>
            </w:r>
          </w:p>
          <w:p w:rsidR="0076319E" w:rsidRDefault="0076319E" w:rsidP="009A7988">
            <w:pPr>
              <w:pBdr>
                <w:top w:val="nil"/>
                <w:left w:val="nil"/>
                <w:bottom w:val="nil"/>
                <w:right w:val="nil"/>
                <w:between w:val="nil"/>
              </w:pBdr>
              <w:contextualSpacing/>
            </w:pPr>
            <w:r w:rsidRPr="00B65D86">
              <w:rPr>
                <w:color w:val="808080" w:themeColor="background1" w:themeShade="80"/>
                <w:sz w:val="20"/>
                <w:szCs w:val="20"/>
              </w:rPr>
              <w:t xml:space="preserve">Gatsby Benchmark </w:t>
            </w:r>
            <w:r>
              <w:rPr>
                <w:color w:val="808080" w:themeColor="background1" w:themeShade="80"/>
                <w:sz w:val="20"/>
                <w:szCs w:val="20"/>
              </w:rPr>
              <w:t>–</w:t>
            </w:r>
            <w:r w:rsidRPr="00B65D86">
              <w:rPr>
                <w:color w:val="808080" w:themeColor="background1" w:themeShade="80"/>
                <w:sz w:val="20"/>
                <w:szCs w:val="20"/>
              </w:rPr>
              <w:t xml:space="preserve"> </w:t>
            </w:r>
            <w:r>
              <w:rPr>
                <w:color w:val="808080" w:themeColor="background1" w:themeShade="80"/>
                <w:sz w:val="20"/>
                <w:szCs w:val="20"/>
              </w:rPr>
              <w:t>2,3,4</w:t>
            </w:r>
          </w:p>
        </w:tc>
      </w:tr>
      <w:tr w:rsidR="0076319E" w:rsidTr="00780266">
        <w:tc>
          <w:tcPr>
            <w:tcW w:w="5103" w:type="dxa"/>
            <w:gridSpan w:val="3"/>
            <w:vMerge/>
          </w:tcPr>
          <w:p w:rsidR="0076319E" w:rsidRDefault="0076319E" w:rsidP="0076319E">
            <w:pPr>
              <w:pBdr>
                <w:top w:val="nil"/>
                <w:left w:val="nil"/>
                <w:bottom w:val="nil"/>
                <w:right w:val="nil"/>
                <w:between w:val="nil"/>
              </w:pBdr>
              <w:contextualSpacing/>
            </w:pPr>
          </w:p>
        </w:tc>
        <w:tc>
          <w:tcPr>
            <w:tcW w:w="284" w:type="dxa"/>
            <w:vMerge/>
          </w:tcPr>
          <w:p w:rsidR="0076319E" w:rsidRDefault="0076319E" w:rsidP="009A7988">
            <w:pPr>
              <w:pBdr>
                <w:top w:val="nil"/>
                <w:left w:val="nil"/>
                <w:bottom w:val="nil"/>
                <w:right w:val="nil"/>
                <w:between w:val="nil"/>
              </w:pBdr>
              <w:contextualSpacing/>
            </w:pPr>
          </w:p>
        </w:tc>
        <w:tc>
          <w:tcPr>
            <w:tcW w:w="4819" w:type="dxa"/>
          </w:tcPr>
          <w:p w:rsidR="0076319E" w:rsidRDefault="0076319E" w:rsidP="009A7988">
            <w:pPr>
              <w:pBdr>
                <w:top w:val="nil"/>
                <w:left w:val="nil"/>
                <w:bottom w:val="nil"/>
                <w:right w:val="nil"/>
                <w:between w:val="nil"/>
              </w:pBdr>
              <w:contextualSpacing/>
            </w:pPr>
            <w:r>
              <w:t>Extend the careers programme within the tutorial programme to be delivered through the academic year</w:t>
            </w:r>
            <w:r w:rsidR="004204A6">
              <w:t>.</w:t>
            </w:r>
          </w:p>
          <w:p w:rsidR="0076319E" w:rsidRDefault="0076319E" w:rsidP="009A7988">
            <w:pPr>
              <w:pBdr>
                <w:top w:val="nil"/>
                <w:left w:val="nil"/>
                <w:bottom w:val="nil"/>
                <w:right w:val="nil"/>
                <w:between w:val="nil"/>
              </w:pBdr>
              <w:contextualSpacing/>
            </w:pPr>
            <w:r w:rsidRPr="00B65D86">
              <w:rPr>
                <w:color w:val="808080" w:themeColor="background1" w:themeShade="80"/>
                <w:sz w:val="20"/>
                <w:szCs w:val="20"/>
              </w:rPr>
              <w:t xml:space="preserve">Gatsby Benchmark </w:t>
            </w:r>
            <w:r>
              <w:rPr>
                <w:color w:val="808080" w:themeColor="background1" w:themeShade="80"/>
                <w:sz w:val="20"/>
                <w:szCs w:val="20"/>
              </w:rPr>
              <w:t>–</w:t>
            </w:r>
            <w:r w:rsidRPr="00B65D86">
              <w:rPr>
                <w:color w:val="808080" w:themeColor="background1" w:themeShade="80"/>
                <w:sz w:val="20"/>
                <w:szCs w:val="20"/>
              </w:rPr>
              <w:t xml:space="preserve"> 1</w:t>
            </w:r>
            <w:r>
              <w:rPr>
                <w:color w:val="808080" w:themeColor="background1" w:themeShade="80"/>
                <w:sz w:val="20"/>
                <w:szCs w:val="20"/>
              </w:rPr>
              <w:t>,4</w:t>
            </w:r>
          </w:p>
        </w:tc>
      </w:tr>
      <w:tr w:rsidR="0076319E" w:rsidTr="00780266">
        <w:tc>
          <w:tcPr>
            <w:tcW w:w="5103" w:type="dxa"/>
            <w:gridSpan w:val="3"/>
            <w:vMerge/>
          </w:tcPr>
          <w:p w:rsidR="0076319E" w:rsidRDefault="0076319E" w:rsidP="0076319E">
            <w:pPr>
              <w:pBdr>
                <w:top w:val="nil"/>
                <w:left w:val="nil"/>
                <w:bottom w:val="nil"/>
                <w:right w:val="nil"/>
                <w:between w:val="nil"/>
              </w:pBdr>
              <w:contextualSpacing/>
            </w:pPr>
          </w:p>
        </w:tc>
        <w:tc>
          <w:tcPr>
            <w:tcW w:w="284" w:type="dxa"/>
            <w:vMerge/>
          </w:tcPr>
          <w:p w:rsidR="0076319E" w:rsidRDefault="0076319E" w:rsidP="009A7988">
            <w:pPr>
              <w:pBdr>
                <w:top w:val="nil"/>
                <w:left w:val="nil"/>
                <w:bottom w:val="nil"/>
                <w:right w:val="nil"/>
                <w:between w:val="nil"/>
              </w:pBdr>
              <w:contextualSpacing/>
            </w:pPr>
          </w:p>
        </w:tc>
        <w:tc>
          <w:tcPr>
            <w:tcW w:w="4819" w:type="dxa"/>
          </w:tcPr>
          <w:p w:rsidR="0076319E" w:rsidRDefault="004204A6" w:rsidP="009A7988">
            <w:pPr>
              <w:pBdr>
                <w:top w:val="nil"/>
                <w:left w:val="nil"/>
                <w:bottom w:val="nil"/>
                <w:right w:val="nil"/>
                <w:between w:val="nil"/>
              </w:pBdr>
              <w:contextualSpacing/>
            </w:pPr>
            <w:r>
              <w:t>Manage resources on G</w:t>
            </w:r>
            <w:r w:rsidR="0076319E">
              <w:t>oogle and other digital platforms, to ensure all information is accessible, current and relevant. Link to external resources and website</w:t>
            </w:r>
            <w:r w:rsidR="00CA245B">
              <w:t>.</w:t>
            </w:r>
          </w:p>
          <w:p w:rsidR="0076319E" w:rsidRDefault="0076319E" w:rsidP="009A7988">
            <w:pPr>
              <w:pBdr>
                <w:top w:val="nil"/>
                <w:left w:val="nil"/>
                <w:bottom w:val="nil"/>
                <w:right w:val="nil"/>
                <w:between w:val="nil"/>
              </w:pBdr>
              <w:contextualSpacing/>
            </w:pPr>
            <w:r w:rsidRPr="00B65D86">
              <w:rPr>
                <w:color w:val="808080" w:themeColor="background1" w:themeShade="80"/>
                <w:sz w:val="20"/>
                <w:szCs w:val="20"/>
              </w:rPr>
              <w:t xml:space="preserve">Gatsby Benchmark </w:t>
            </w:r>
            <w:r>
              <w:rPr>
                <w:color w:val="808080" w:themeColor="background1" w:themeShade="80"/>
                <w:sz w:val="20"/>
                <w:szCs w:val="20"/>
              </w:rPr>
              <w:t>–</w:t>
            </w:r>
            <w:r w:rsidRPr="00B65D86">
              <w:rPr>
                <w:color w:val="808080" w:themeColor="background1" w:themeShade="80"/>
                <w:sz w:val="20"/>
                <w:szCs w:val="20"/>
              </w:rPr>
              <w:t xml:space="preserve"> </w:t>
            </w:r>
            <w:r>
              <w:rPr>
                <w:color w:val="808080" w:themeColor="background1" w:themeShade="80"/>
                <w:sz w:val="20"/>
                <w:szCs w:val="20"/>
              </w:rPr>
              <w:t>2,3,4</w:t>
            </w:r>
          </w:p>
        </w:tc>
      </w:tr>
      <w:tr w:rsidR="0076319E" w:rsidTr="00780266">
        <w:tc>
          <w:tcPr>
            <w:tcW w:w="5103" w:type="dxa"/>
            <w:gridSpan w:val="3"/>
            <w:vMerge/>
          </w:tcPr>
          <w:p w:rsidR="0076319E" w:rsidRDefault="0076319E" w:rsidP="0076319E">
            <w:pPr>
              <w:pBdr>
                <w:top w:val="nil"/>
                <w:left w:val="nil"/>
                <w:bottom w:val="nil"/>
                <w:right w:val="nil"/>
                <w:between w:val="nil"/>
              </w:pBdr>
              <w:contextualSpacing/>
            </w:pPr>
          </w:p>
        </w:tc>
        <w:tc>
          <w:tcPr>
            <w:tcW w:w="284" w:type="dxa"/>
            <w:vMerge/>
          </w:tcPr>
          <w:p w:rsidR="0076319E" w:rsidRDefault="0076319E" w:rsidP="009A7988">
            <w:pPr>
              <w:pBdr>
                <w:top w:val="nil"/>
                <w:left w:val="nil"/>
                <w:bottom w:val="nil"/>
                <w:right w:val="nil"/>
                <w:between w:val="nil"/>
              </w:pBdr>
              <w:contextualSpacing/>
            </w:pPr>
          </w:p>
        </w:tc>
        <w:tc>
          <w:tcPr>
            <w:tcW w:w="4819" w:type="dxa"/>
          </w:tcPr>
          <w:p w:rsidR="0076319E" w:rsidRDefault="0076319E" w:rsidP="009A7988">
            <w:pPr>
              <w:pBdr>
                <w:top w:val="nil"/>
                <w:left w:val="nil"/>
                <w:bottom w:val="nil"/>
                <w:right w:val="nil"/>
                <w:between w:val="nil"/>
              </w:pBdr>
              <w:contextualSpacing/>
            </w:pPr>
            <w:r>
              <w:t>Develop and promote suitable resources to link English/maths and digital skills to careers activities</w:t>
            </w:r>
            <w:r w:rsidR="00CA245B">
              <w:t>.</w:t>
            </w:r>
          </w:p>
          <w:p w:rsidR="0076319E" w:rsidRDefault="0076319E" w:rsidP="009A7988">
            <w:pPr>
              <w:pBdr>
                <w:top w:val="nil"/>
                <w:left w:val="nil"/>
                <w:bottom w:val="nil"/>
                <w:right w:val="nil"/>
                <w:between w:val="nil"/>
              </w:pBdr>
              <w:contextualSpacing/>
            </w:pPr>
            <w:r w:rsidRPr="00B65D86">
              <w:rPr>
                <w:color w:val="808080" w:themeColor="background1" w:themeShade="80"/>
                <w:sz w:val="20"/>
                <w:szCs w:val="20"/>
              </w:rPr>
              <w:t xml:space="preserve">Gatsby Benchmark </w:t>
            </w:r>
            <w:r>
              <w:rPr>
                <w:color w:val="808080" w:themeColor="background1" w:themeShade="80"/>
                <w:sz w:val="20"/>
                <w:szCs w:val="20"/>
              </w:rPr>
              <w:t>–</w:t>
            </w:r>
            <w:r w:rsidRPr="00B65D86">
              <w:rPr>
                <w:color w:val="808080" w:themeColor="background1" w:themeShade="80"/>
                <w:sz w:val="20"/>
                <w:szCs w:val="20"/>
              </w:rPr>
              <w:t xml:space="preserve"> </w:t>
            </w:r>
            <w:r>
              <w:rPr>
                <w:color w:val="808080" w:themeColor="background1" w:themeShade="80"/>
                <w:sz w:val="20"/>
                <w:szCs w:val="20"/>
              </w:rPr>
              <w:t>4</w:t>
            </w:r>
          </w:p>
        </w:tc>
      </w:tr>
      <w:tr w:rsidR="0076319E" w:rsidTr="00780266">
        <w:tc>
          <w:tcPr>
            <w:tcW w:w="5103" w:type="dxa"/>
            <w:gridSpan w:val="3"/>
            <w:vMerge/>
          </w:tcPr>
          <w:p w:rsidR="0076319E" w:rsidRDefault="0076319E" w:rsidP="0076319E">
            <w:pPr>
              <w:pBdr>
                <w:top w:val="nil"/>
                <w:left w:val="nil"/>
                <w:bottom w:val="nil"/>
                <w:right w:val="nil"/>
                <w:between w:val="nil"/>
              </w:pBdr>
              <w:contextualSpacing/>
            </w:pPr>
          </w:p>
        </w:tc>
        <w:tc>
          <w:tcPr>
            <w:tcW w:w="284" w:type="dxa"/>
            <w:vMerge/>
          </w:tcPr>
          <w:p w:rsidR="0076319E" w:rsidRDefault="0076319E" w:rsidP="009A7988">
            <w:pPr>
              <w:pBdr>
                <w:top w:val="nil"/>
                <w:left w:val="nil"/>
                <w:bottom w:val="nil"/>
                <w:right w:val="nil"/>
                <w:between w:val="nil"/>
              </w:pBdr>
              <w:contextualSpacing/>
            </w:pPr>
          </w:p>
        </w:tc>
        <w:tc>
          <w:tcPr>
            <w:tcW w:w="4819" w:type="dxa"/>
          </w:tcPr>
          <w:p w:rsidR="0076319E" w:rsidRDefault="0076319E" w:rsidP="009A7988">
            <w:pPr>
              <w:pBdr>
                <w:top w:val="nil"/>
                <w:left w:val="nil"/>
                <w:bottom w:val="nil"/>
                <w:right w:val="nil"/>
                <w:between w:val="nil"/>
              </w:pBdr>
              <w:contextualSpacing/>
            </w:pPr>
            <w:r>
              <w:t>Develop display resources for each school/ department linking case studies to career pathways and LMI data and monitor that these have been used</w:t>
            </w:r>
            <w:r w:rsidR="00CA245B">
              <w:t>.</w:t>
            </w:r>
          </w:p>
          <w:p w:rsidR="0076319E" w:rsidRDefault="0076319E" w:rsidP="009A7988">
            <w:pPr>
              <w:pBdr>
                <w:top w:val="nil"/>
                <w:left w:val="nil"/>
                <w:bottom w:val="nil"/>
                <w:right w:val="nil"/>
                <w:between w:val="nil"/>
              </w:pBdr>
              <w:contextualSpacing/>
            </w:pPr>
            <w:r w:rsidRPr="00B65D86">
              <w:rPr>
                <w:color w:val="808080" w:themeColor="background1" w:themeShade="80"/>
                <w:sz w:val="20"/>
                <w:szCs w:val="20"/>
              </w:rPr>
              <w:t xml:space="preserve">Gatsby Benchmark </w:t>
            </w:r>
            <w:r>
              <w:rPr>
                <w:color w:val="808080" w:themeColor="background1" w:themeShade="80"/>
                <w:sz w:val="20"/>
                <w:szCs w:val="20"/>
              </w:rPr>
              <w:t>–</w:t>
            </w:r>
            <w:r w:rsidRPr="00B65D86">
              <w:rPr>
                <w:color w:val="808080" w:themeColor="background1" w:themeShade="80"/>
                <w:sz w:val="20"/>
                <w:szCs w:val="20"/>
              </w:rPr>
              <w:t xml:space="preserve"> </w:t>
            </w:r>
            <w:r>
              <w:rPr>
                <w:color w:val="808080" w:themeColor="background1" w:themeShade="80"/>
                <w:sz w:val="20"/>
                <w:szCs w:val="20"/>
              </w:rPr>
              <w:t>2,4</w:t>
            </w:r>
          </w:p>
        </w:tc>
      </w:tr>
      <w:tr w:rsidR="0076319E" w:rsidTr="00780266">
        <w:trPr>
          <w:trHeight w:val="1343"/>
        </w:trPr>
        <w:tc>
          <w:tcPr>
            <w:tcW w:w="5103" w:type="dxa"/>
            <w:gridSpan w:val="3"/>
            <w:vMerge/>
          </w:tcPr>
          <w:p w:rsidR="0076319E" w:rsidRDefault="0076319E" w:rsidP="0076319E">
            <w:pPr>
              <w:pBdr>
                <w:top w:val="nil"/>
                <w:left w:val="nil"/>
                <w:bottom w:val="nil"/>
                <w:right w:val="nil"/>
                <w:between w:val="nil"/>
              </w:pBdr>
              <w:contextualSpacing/>
            </w:pPr>
          </w:p>
        </w:tc>
        <w:tc>
          <w:tcPr>
            <w:tcW w:w="284" w:type="dxa"/>
            <w:vMerge/>
          </w:tcPr>
          <w:p w:rsidR="0076319E" w:rsidRDefault="0076319E" w:rsidP="009A7988">
            <w:pPr>
              <w:pBdr>
                <w:top w:val="nil"/>
                <w:left w:val="nil"/>
                <w:bottom w:val="nil"/>
                <w:right w:val="nil"/>
                <w:between w:val="nil"/>
              </w:pBdr>
              <w:contextualSpacing/>
            </w:pPr>
          </w:p>
        </w:tc>
        <w:tc>
          <w:tcPr>
            <w:tcW w:w="4819" w:type="dxa"/>
          </w:tcPr>
          <w:p w:rsidR="0076319E" w:rsidRDefault="0076319E" w:rsidP="009A7988">
            <w:pPr>
              <w:pBdr>
                <w:top w:val="nil"/>
                <w:left w:val="nil"/>
                <w:bottom w:val="nil"/>
                <w:right w:val="nil"/>
                <w:between w:val="nil"/>
              </w:pBdr>
              <w:contextualSpacing/>
            </w:pPr>
            <w:r>
              <w:t>IAG training delivered to build capacity of other college teams, new IV and additional assessors identified/trained.</w:t>
            </w:r>
          </w:p>
          <w:p w:rsidR="0076319E" w:rsidRDefault="0076319E" w:rsidP="009A7988">
            <w:pPr>
              <w:pBdr>
                <w:top w:val="nil"/>
                <w:left w:val="nil"/>
                <w:bottom w:val="nil"/>
                <w:right w:val="nil"/>
                <w:between w:val="nil"/>
              </w:pBdr>
              <w:contextualSpacing/>
            </w:pPr>
            <w:r>
              <w:t>IAG training will include High Needs and Transition staff.</w:t>
            </w:r>
          </w:p>
          <w:p w:rsidR="0076319E" w:rsidRDefault="0076319E" w:rsidP="00916D61">
            <w:pPr>
              <w:pBdr>
                <w:top w:val="nil"/>
                <w:left w:val="nil"/>
                <w:bottom w:val="nil"/>
                <w:right w:val="nil"/>
                <w:between w:val="nil"/>
              </w:pBdr>
              <w:contextualSpacing/>
            </w:pPr>
            <w:r w:rsidRPr="00B65D86">
              <w:rPr>
                <w:color w:val="808080" w:themeColor="background1" w:themeShade="80"/>
                <w:sz w:val="20"/>
                <w:szCs w:val="20"/>
              </w:rPr>
              <w:t xml:space="preserve">Gatsby Benchmark </w:t>
            </w:r>
            <w:r>
              <w:rPr>
                <w:color w:val="808080" w:themeColor="background1" w:themeShade="80"/>
                <w:sz w:val="20"/>
                <w:szCs w:val="20"/>
              </w:rPr>
              <w:t>–</w:t>
            </w:r>
            <w:r w:rsidRPr="00B65D86">
              <w:rPr>
                <w:color w:val="808080" w:themeColor="background1" w:themeShade="80"/>
                <w:sz w:val="20"/>
                <w:szCs w:val="20"/>
              </w:rPr>
              <w:t xml:space="preserve"> </w:t>
            </w:r>
            <w:r>
              <w:rPr>
                <w:color w:val="808080" w:themeColor="background1" w:themeShade="80"/>
                <w:sz w:val="20"/>
                <w:szCs w:val="20"/>
              </w:rPr>
              <w:t>1,3</w:t>
            </w:r>
          </w:p>
        </w:tc>
      </w:tr>
      <w:tr w:rsidR="0076319E" w:rsidTr="00780266">
        <w:trPr>
          <w:trHeight w:val="1342"/>
        </w:trPr>
        <w:tc>
          <w:tcPr>
            <w:tcW w:w="5103" w:type="dxa"/>
            <w:gridSpan w:val="3"/>
            <w:vMerge/>
          </w:tcPr>
          <w:p w:rsidR="0076319E" w:rsidRDefault="0076319E" w:rsidP="0076319E">
            <w:pPr>
              <w:pBdr>
                <w:top w:val="nil"/>
                <w:left w:val="nil"/>
                <w:bottom w:val="nil"/>
                <w:right w:val="nil"/>
                <w:between w:val="nil"/>
              </w:pBdr>
              <w:contextualSpacing/>
            </w:pPr>
          </w:p>
        </w:tc>
        <w:tc>
          <w:tcPr>
            <w:tcW w:w="284" w:type="dxa"/>
            <w:vMerge/>
          </w:tcPr>
          <w:p w:rsidR="0076319E" w:rsidRDefault="0076319E" w:rsidP="009A7988">
            <w:pPr>
              <w:pBdr>
                <w:top w:val="nil"/>
                <w:left w:val="nil"/>
                <w:bottom w:val="nil"/>
                <w:right w:val="nil"/>
                <w:between w:val="nil"/>
              </w:pBdr>
              <w:contextualSpacing/>
            </w:pPr>
          </w:p>
        </w:tc>
        <w:tc>
          <w:tcPr>
            <w:tcW w:w="4819" w:type="dxa"/>
          </w:tcPr>
          <w:p w:rsidR="0076319E" w:rsidRDefault="0076319E" w:rsidP="009A7988">
            <w:pPr>
              <w:pBdr>
                <w:top w:val="nil"/>
                <w:left w:val="nil"/>
                <w:bottom w:val="nil"/>
                <w:right w:val="nil"/>
                <w:between w:val="nil"/>
              </w:pBdr>
              <w:contextualSpacing/>
            </w:pPr>
            <w:r>
              <w:t>Work related learning and generic skills on PPP are explicitly linked to employability – review the PPP action sheet</w:t>
            </w:r>
            <w:r w:rsidR="00CA245B">
              <w:t>:</w:t>
            </w:r>
          </w:p>
          <w:p w:rsidR="0076319E" w:rsidRDefault="0076319E" w:rsidP="007E271C">
            <w:pPr>
              <w:pStyle w:val="ListParagraph"/>
              <w:numPr>
                <w:ilvl w:val="0"/>
                <w:numId w:val="41"/>
              </w:numPr>
              <w:pBdr>
                <w:top w:val="nil"/>
                <w:left w:val="nil"/>
                <w:bottom w:val="nil"/>
                <w:right w:val="nil"/>
                <w:between w:val="nil"/>
              </w:pBdr>
            </w:pPr>
            <w:r>
              <w:t xml:space="preserve">Students use the PPP </w:t>
            </w:r>
            <w:r w:rsidR="005158D5">
              <w:t xml:space="preserve">(personal progression plan) </w:t>
            </w:r>
            <w:r>
              <w:t>to show skills developed during the year</w:t>
            </w:r>
          </w:p>
          <w:p w:rsidR="0076319E" w:rsidRDefault="0076319E" w:rsidP="007E271C">
            <w:pPr>
              <w:pStyle w:val="ListParagraph"/>
              <w:numPr>
                <w:ilvl w:val="0"/>
                <w:numId w:val="41"/>
              </w:numPr>
              <w:pBdr>
                <w:top w:val="nil"/>
                <w:left w:val="nil"/>
                <w:bottom w:val="nil"/>
                <w:right w:val="nil"/>
                <w:between w:val="nil"/>
              </w:pBdr>
            </w:pPr>
            <w:r>
              <w:t>Student actions are meaningful, attainable and link to the skills to be developed</w:t>
            </w:r>
            <w:r w:rsidR="00CA245B">
              <w:t>.</w:t>
            </w:r>
          </w:p>
          <w:p w:rsidR="0076319E" w:rsidRDefault="0076319E" w:rsidP="007E271C">
            <w:pPr>
              <w:pStyle w:val="ListParagraph"/>
              <w:numPr>
                <w:ilvl w:val="0"/>
                <w:numId w:val="41"/>
              </w:numPr>
              <w:pBdr>
                <w:top w:val="nil"/>
                <w:left w:val="nil"/>
                <w:bottom w:val="nil"/>
                <w:right w:val="nil"/>
                <w:between w:val="nil"/>
              </w:pBdr>
            </w:pPr>
            <w:r>
              <w:t>Students reflect on enrichment activities, record skills developed and can relate these to employability</w:t>
            </w:r>
            <w:r w:rsidR="00CA245B">
              <w:t>.</w:t>
            </w:r>
          </w:p>
          <w:p w:rsidR="0076319E" w:rsidRDefault="0076319E" w:rsidP="007E271C">
            <w:pPr>
              <w:pStyle w:val="ListParagraph"/>
              <w:numPr>
                <w:ilvl w:val="0"/>
                <w:numId w:val="41"/>
              </w:numPr>
              <w:pBdr>
                <w:top w:val="nil"/>
                <w:left w:val="nil"/>
                <w:bottom w:val="nil"/>
                <w:right w:val="nil"/>
                <w:between w:val="nil"/>
              </w:pBdr>
            </w:pPr>
            <w:r>
              <w:t>Course leaders monitor this is happening</w:t>
            </w:r>
            <w:r w:rsidR="00CA245B">
              <w:t>.</w:t>
            </w:r>
          </w:p>
          <w:p w:rsidR="0076319E" w:rsidRDefault="0076319E" w:rsidP="007E271C">
            <w:pPr>
              <w:pBdr>
                <w:top w:val="nil"/>
                <w:left w:val="nil"/>
                <w:bottom w:val="nil"/>
                <w:right w:val="nil"/>
                <w:between w:val="nil"/>
              </w:pBdr>
              <w:contextualSpacing/>
            </w:pPr>
            <w:r w:rsidRPr="00B65D86">
              <w:rPr>
                <w:color w:val="808080" w:themeColor="background1" w:themeShade="80"/>
                <w:sz w:val="20"/>
                <w:szCs w:val="20"/>
              </w:rPr>
              <w:t xml:space="preserve">Gatsby Benchmark </w:t>
            </w:r>
            <w:r>
              <w:rPr>
                <w:color w:val="808080" w:themeColor="background1" w:themeShade="80"/>
                <w:sz w:val="20"/>
                <w:szCs w:val="20"/>
              </w:rPr>
              <w:t>–</w:t>
            </w:r>
            <w:r w:rsidRPr="00B65D86">
              <w:rPr>
                <w:color w:val="808080" w:themeColor="background1" w:themeShade="80"/>
                <w:sz w:val="20"/>
                <w:szCs w:val="20"/>
              </w:rPr>
              <w:t xml:space="preserve"> </w:t>
            </w:r>
            <w:r>
              <w:rPr>
                <w:color w:val="808080" w:themeColor="background1" w:themeShade="80"/>
                <w:sz w:val="20"/>
                <w:szCs w:val="20"/>
              </w:rPr>
              <w:t>1,3, 5</w:t>
            </w:r>
          </w:p>
        </w:tc>
      </w:tr>
      <w:tr w:rsidR="0076319E" w:rsidTr="0076319E">
        <w:trPr>
          <w:trHeight w:val="70"/>
        </w:trPr>
        <w:tc>
          <w:tcPr>
            <w:tcW w:w="5103" w:type="dxa"/>
            <w:gridSpan w:val="3"/>
            <w:vMerge/>
          </w:tcPr>
          <w:p w:rsidR="0076319E" w:rsidRDefault="0076319E" w:rsidP="0076319E">
            <w:pPr>
              <w:pBdr>
                <w:top w:val="nil"/>
                <w:left w:val="nil"/>
                <w:bottom w:val="nil"/>
                <w:right w:val="nil"/>
                <w:between w:val="nil"/>
              </w:pBdr>
              <w:contextualSpacing/>
            </w:pPr>
          </w:p>
        </w:tc>
        <w:tc>
          <w:tcPr>
            <w:tcW w:w="284" w:type="dxa"/>
            <w:vMerge/>
            <w:tcBorders>
              <w:bottom w:val="single" w:sz="4" w:space="0" w:color="auto"/>
            </w:tcBorders>
          </w:tcPr>
          <w:p w:rsidR="0076319E" w:rsidRDefault="0076319E" w:rsidP="009A7988">
            <w:pPr>
              <w:pBdr>
                <w:top w:val="nil"/>
                <w:left w:val="nil"/>
                <w:bottom w:val="nil"/>
                <w:right w:val="nil"/>
                <w:between w:val="nil"/>
              </w:pBdr>
              <w:contextualSpacing/>
            </w:pPr>
          </w:p>
        </w:tc>
        <w:tc>
          <w:tcPr>
            <w:tcW w:w="4819" w:type="dxa"/>
            <w:tcBorders>
              <w:bottom w:val="single" w:sz="4" w:space="0" w:color="auto"/>
            </w:tcBorders>
          </w:tcPr>
          <w:p w:rsidR="0076319E" w:rsidRDefault="00CA245B" w:rsidP="0076319E">
            <w:pPr>
              <w:pBdr>
                <w:top w:val="nil"/>
                <w:left w:val="nil"/>
                <w:right w:val="nil"/>
                <w:between w:val="nil"/>
              </w:pBdr>
              <w:contextualSpacing/>
            </w:pPr>
            <w:r>
              <w:t>The c</w:t>
            </w:r>
            <w:r w:rsidR="0076319E">
              <w:t>areer plan is included in the group profile. The review of the group career plans shape the content and contextualisation</w:t>
            </w:r>
            <w:r>
              <w:t>.</w:t>
            </w:r>
          </w:p>
          <w:p w:rsidR="0076319E" w:rsidRDefault="0076319E" w:rsidP="00B776A6">
            <w:pPr>
              <w:pBdr>
                <w:top w:val="nil"/>
                <w:left w:val="nil"/>
                <w:right w:val="nil"/>
                <w:between w:val="nil"/>
              </w:pBdr>
              <w:contextualSpacing/>
            </w:pPr>
            <w:r w:rsidRPr="00B65D86">
              <w:rPr>
                <w:color w:val="808080" w:themeColor="background1" w:themeShade="80"/>
                <w:sz w:val="20"/>
                <w:szCs w:val="20"/>
              </w:rPr>
              <w:t xml:space="preserve">Gatsby Benchmark </w:t>
            </w:r>
            <w:r>
              <w:rPr>
                <w:color w:val="808080" w:themeColor="background1" w:themeShade="80"/>
                <w:sz w:val="20"/>
                <w:szCs w:val="20"/>
              </w:rPr>
              <w:t>–</w:t>
            </w:r>
            <w:r w:rsidRPr="00B65D86">
              <w:rPr>
                <w:color w:val="808080" w:themeColor="background1" w:themeShade="80"/>
                <w:sz w:val="20"/>
                <w:szCs w:val="20"/>
              </w:rPr>
              <w:t xml:space="preserve"> </w:t>
            </w:r>
            <w:r>
              <w:rPr>
                <w:color w:val="808080" w:themeColor="background1" w:themeShade="80"/>
                <w:sz w:val="20"/>
                <w:szCs w:val="20"/>
              </w:rPr>
              <w:t>1,3</w:t>
            </w:r>
          </w:p>
        </w:tc>
      </w:tr>
      <w:tr w:rsidR="00780266" w:rsidTr="00465733">
        <w:tc>
          <w:tcPr>
            <w:tcW w:w="10206" w:type="dxa"/>
            <w:gridSpan w:val="5"/>
            <w:tcBorders>
              <w:top w:val="single" w:sz="4" w:space="0" w:color="auto"/>
              <w:left w:val="single" w:sz="4" w:space="0" w:color="auto"/>
              <w:right w:val="single" w:sz="4" w:space="0" w:color="auto"/>
            </w:tcBorders>
          </w:tcPr>
          <w:p w:rsidR="00780266" w:rsidRDefault="00780266" w:rsidP="00E241F4">
            <w:pPr>
              <w:jc w:val="center"/>
              <w:rPr>
                <w:b/>
              </w:rPr>
            </w:pPr>
          </w:p>
          <w:p w:rsidR="00780266" w:rsidRDefault="00780266" w:rsidP="00E241F4">
            <w:pPr>
              <w:jc w:val="center"/>
            </w:pPr>
            <w:r w:rsidRPr="00E35B4D">
              <w:rPr>
                <w:b/>
              </w:rPr>
              <w:t>Personal Guidance</w:t>
            </w:r>
          </w:p>
        </w:tc>
      </w:tr>
      <w:tr w:rsidR="00780266" w:rsidTr="006A583A">
        <w:tc>
          <w:tcPr>
            <w:tcW w:w="5103" w:type="dxa"/>
            <w:gridSpan w:val="3"/>
            <w:vMerge w:val="restart"/>
          </w:tcPr>
          <w:p w:rsidR="00780266" w:rsidRDefault="00CA245B" w:rsidP="009A7988">
            <w:r>
              <w:t>The college careers team run internal drop-i</w:t>
            </w:r>
            <w:r w:rsidR="00780266" w:rsidRPr="007B74A8">
              <w:t>n sessions at each campus, and provide specialist advice to students and curriculum staff during points of trans</w:t>
            </w:r>
            <w:r w:rsidR="005158D5">
              <w:t xml:space="preserve">ition - pre-entry, progression and </w:t>
            </w:r>
            <w:r w:rsidR="00780266" w:rsidRPr="007B74A8">
              <w:t>changes in destination choices.</w:t>
            </w:r>
          </w:p>
          <w:p w:rsidR="005158D5" w:rsidRPr="007B74A8" w:rsidRDefault="005158D5" w:rsidP="009A7988"/>
          <w:p w:rsidR="00780266" w:rsidRPr="007B74A8" w:rsidRDefault="00780266" w:rsidP="009A7988">
            <w:r w:rsidRPr="007B74A8">
              <w:t>NCS also work with 19+ students.</w:t>
            </w:r>
          </w:p>
          <w:p w:rsidR="00780266" w:rsidRDefault="005158D5" w:rsidP="00424A76">
            <w:r>
              <w:t>Career</w:t>
            </w:r>
            <w:r w:rsidR="00780266" w:rsidRPr="007B74A8">
              <w:t xml:space="preserve"> Coach provides accessible LMI information. This is readily available on the college websi</w:t>
            </w:r>
            <w:r>
              <w:t>te and used through curriculum independent s</w:t>
            </w:r>
            <w:r w:rsidR="00780266" w:rsidRPr="007B74A8">
              <w:t>tudy</w:t>
            </w:r>
            <w:r>
              <w:t xml:space="preserve"> and careers p</w:t>
            </w:r>
            <w:r w:rsidR="00780266" w:rsidRPr="007B74A8">
              <w:t>lanning.</w:t>
            </w:r>
          </w:p>
          <w:p w:rsidR="005158D5" w:rsidRPr="007B74A8" w:rsidRDefault="005158D5" w:rsidP="00424A76"/>
          <w:p w:rsidR="00780266" w:rsidRPr="007B74A8" w:rsidRDefault="005158D5" w:rsidP="00424A76">
            <w:r>
              <w:t>Pre e</w:t>
            </w:r>
            <w:r w:rsidR="00780266" w:rsidRPr="007B74A8">
              <w:t>nrolment guidance support</w:t>
            </w:r>
            <w:r>
              <w:t>s students</w:t>
            </w:r>
            <w:r w:rsidR="00780266" w:rsidRPr="007B74A8">
              <w:t xml:space="preserve"> through NARIC to ensure that overseas qualifications are matched to their course entry requirements.</w:t>
            </w:r>
          </w:p>
          <w:p w:rsidR="00780266" w:rsidRPr="007B74A8" w:rsidRDefault="00780266" w:rsidP="00424A76">
            <w:pPr>
              <w:rPr>
                <w:color w:val="FF0000"/>
              </w:rPr>
            </w:pPr>
          </w:p>
          <w:p w:rsidR="007B74A8" w:rsidRPr="00834DC6" w:rsidRDefault="007B74A8" w:rsidP="007B74A8">
            <w:r w:rsidRPr="00834DC6">
              <w:t>Admissions - Pre-Entry Guidance</w:t>
            </w:r>
          </w:p>
          <w:p w:rsidR="007B74A8" w:rsidRPr="00834DC6" w:rsidRDefault="005158D5" w:rsidP="007B74A8">
            <w:r w:rsidRPr="00834DC6">
              <w:t>The Student Recruitment &amp;</w:t>
            </w:r>
            <w:r w:rsidR="007B74A8" w:rsidRPr="00834DC6">
              <w:t xml:space="preserve"> Admissions team offer</w:t>
            </w:r>
            <w:r w:rsidRPr="00834DC6">
              <w:t>s</w:t>
            </w:r>
            <w:r w:rsidR="007B74A8" w:rsidRPr="00834DC6">
              <w:t xml:space="preserve"> a first point of contact within the college setting for initial advice and guidance on choosing progression pathways and appropriate courses. </w:t>
            </w:r>
          </w:p>
          <w:p w:rsidR="007B74A8" w:rsidRPr="00834DC6" w:rsidRDefault="007B74A8" w:rsidP="007B74A8"/>
          <w:p w:rsidR="007B74A8" w:rsidRPr="00834DC6" w:rsidRDefault="005158D5" w:rsidP="007B74A8">
            <w:r w:rsidRPr="00834DC6">
              <w:t>They also sign</w:t>
            </w:r>
            <w:r w:rsidR="007B74A8" w:rsidRPr="00834DC6">
              <w:t xml:space="preserve">post those needing further advice and guidance to the careers team with in college. </w:t>
            </w:r>
          </w:p>
          <w:p w:rsidR="005158D5" w:rsidRPr="00834DC6" w:rsidRDefault="005158D5" w:rsidP="007B74A8"/>
          <w:p w:rsidR="007B74A8" w:rsidRPr="00834DC6" w:rsidRDefault="007B74A8" w:rsidP="007B74A8">
            <w:r w:rsidRPr="00834DC6">
              <w:t>Provide LMI data and market share information to curriculum, advise on trends and local economic growth within the region</w:t>
            </w:r>
            <w:r w:rsidR="005158D5" w:rsidRPr="00834DC6">
              <w:t>.</w:t>
            </w:r>
          </w:p>
          <w:p w:rsidR="007B74A8" w:rsidRPr="00834DC6" w:rsidRDefault="007B74A8" w:rsidP="007B74A8"/>
          <w:p w:rsidR="007B74A8" w:rsidRPr="00834DC6" w:rsidRDefault="007B74A8" w:rsidP="007B74A8">
            <w:r w:rsidRPr="00834DC6">
              <w:t>Provide admissions data to curriculum to help ensure students are receiving a fluid</w:t>
            </w:r>
            <w:r w:rsidR="005158D5" w:rsidRPr="00834DC6">
              <w:t>,</w:t>
            </w:r>
            <w:r w:rsidRPr="00834DC6">
              <w:t xml:space="preserve"> consistent and supportive admissions process through applications</w:t>
            </w:r>
            <w:r w:rsidR="005158D5" w:rsidRPr="00834DC6">
              <w:t>,</w:t>
            </w:r>
            <w:r w:rsidRPr="00834DC6">
              <w:t xml:space="preserve"> interview</w:t>
            </w:r>
            <w:r w:rsidR="005158D5" w:rsidRPr="00834DC6">
              <w:t>s</w:t>
            </w:r>
            <w:r w:rsidRPr="00834DC6">
              <w:t xml:space="preserve"> and offers.</w:t>
            </w:r>
          </w:p>
          <w:p w:rsidR="007B74A8" w:rsidRPr="00834DC6" w:rsidRDefault="007B74A8" w:rsidP="007B74A8"/>
          <w:p w:rsidR="007B74A8" w:rsidRPr="00834DC6" w:rsidRDefault="007B74A8" w:rsidP="007B74A8">
            <w:pPr>
              <w:rPr>
                <w:rFonts w:ascii="Times New Roman" w:eastAsia="Times New Roman" w:hAnsi="Times New Roman" w:cs="Times New Roman"/>
                <w:sz w:val="24"/>
                <w:szCs w:val="24"/>
                <w:lang w:eastAsia="en-GB"/>
              </w:rPr>
            </w:pPr>
            <w:r w:rsidRPr="00834DC6">
              <w:t>Schools Liaison - Pre-Entry Guidance</w:t>
            </w:r>
          </w:p>
          <w:p w:rsidR="007B74A8" w:rsidRPr="00834DC6" w:rsidRDefault="007B74A8" w:rsidP="007B74A8">
            <w:pPr>
              <w:ind w:hanging="360"/>
              <w:rPr>
                <w:rFonts w:ascii="Times New Roman" w:eastAsia="Times New Roman" w:hAnsi="Times New Roman" w:cs="Times New Roman"/>
                <w:sz w:val="14"/>
                <w:szCs w:val="14"/>
                <w:lang w:eastAsia="en-GB"/>
              </w:rPr>
            </w:pPr>
            <w:r w:rsidRPr="00834DC6">
              <w:rPr>
                <w:rFonts w:ascii="Calibri" w:eastAsia="Times New Roman" w:hAnsi="Calibri" w:cs="Times New Roman"/>
                <w:lang w:eastAsia="en-GB"/>
              </w:rPr>
              <w:t>·</w:t>
            </w:r>
            <w:r w:rsidRPr="00834DC6">
              <w:rPr>
                <w:rFonts w:ascii="Times New Roman" w:eastAsia="Times New Roman" w:hAnsi="Times New Roman" w:cs="Times New Roman"/>
                <w:sz w:val="14"/>
                <w:szCs w:val="14"/>
                <w:lang w:eastAsia="en-GB"/>
              </w:rPr>
              <w:t xml:space="preserve">         </w:t>
            </w:r>
            <w:r w:rsidRPr="00834DC6">
              <w:rPr>
                <w:rFonts w:ascii="Calibri" w:eastAsia="Times New Roman" w:hAnsi="Calibri" w:cs="Times New Roman"/>
                <w:lang w:eastAsia="en-GB"/>
              </w:rPr>
              <w:t>Provide information, advice and guidance at events and activitie</w:t>
            </w:r>
            <w:r w:rsidR="00B52392" w:rsidRPr="00834DC6">
              <w:rPr>
                <w:rFonts w:ascii="Calibri" w:eastAsia="Times New Roman" w:hAnsi="Calibri" w:cs="Times New Roman"/>
                <w:lang w:eastAsia="en-GB"/>
              </w:rPr>
              <w:t>s in schools across the region.</w:t>
            </w:r>
            <w:r w:rsidRPr="00834DC6">
              <w:rPr>
                <w:rFonts w:ascii="Times New Roman" w:eastAsia="Times New Roman" w:hAnsi="Times New Roman" w:cs="Times New Roman"/>
                <w:sz w:val="14"/>
                <w:szCs w:val="14"/>
                <w:lang w:eastAsia="en-GB"/>
              </w:rPr>
              <w:t>     </w:t>
            </w:r>
          </w:p>
          <w:p w:rsidR="007B74A8" w:rsidRPr="00834DC6" w:rsidRDefault="007B74A8" w:rsidP="007B74A8">
            <w:pPr>
              <w:ind w:hanging="360"/>
              <w:rPr>
                <w:rFonts w:ascii="Times New Roman" w:eastAsia="Times New Roman" w:hAnsi="Times New Roman" w:cs="Times New Roman"/>
                <w:sz w:val="14"/>
                <w:szCs w:val="14"/>
                <w:lang w:eastAsia="en-GB"/>
              </w:rPr>
            </w:pPr>
          </w:p>
          <w:p w:rsidR="007B74A8" w:rsidRPr="00834DC6" w:rsidRDefault="00B52392" w:rsidP="007B74A8">
            <w:pPr>
              <w:ind w:hanging="360"/>
              <w:rPr>
                <w:rFonts w:ascii="Calibri" w:eastAsia="Times New Roman" w:hAnsi="Calibri" w:cs="Times New Roman"/>
                <w:lang w:eastAsia="en-GB"/>
              </w:rPr>
            </w:pPr>
            <w:r w:rsidRPr="00834DC6">
              <w:rPr>
                <w:rFonts w:ascii="Times New Roman" w:eastAsia="Times New Roman" w:hAnsi="Times New Roman" w:cs="Times New Roman"/>
                <w:sz w:val="14"/>
                <w:szCs w:val="14"/>
                <w:lang w:eastAsia="en-GB"/>
              </w:rPr>
              <w:t xml:space="preserve">          </w:t>
            </w:r>
            <w:r w:rsidR="007B74A8" w:rsidRPr="00834DC6">
              <w:rPr>
                <w:rFonts w:ascii="Calibri" w:eastAsia="Times New Roman" w:hAnsi="Calibri" w:cs="Times New Roman"/>
                <w:lang w:eastAsia="en-GB"/>
              </w:rPr>
              <w:t>Deliver school presentations on career options and application procedures.</w:t>
            </w:r>
          </w:p>
          <w:p w:rsidR="007B74A8" w:rsidRPr="00834DC6" w:rsidRDefault="007B74A8" w:rsidP="007B74A8">
            <w:pPr>
              <w:ind w:hanging="360"/>
              <w:rPr>
                <w:rFonts w:ascii="Times New Roman" w:eastAsia="Times New Roman" w:hAnsi="Times New Roman" w:cs="Times New Roman"/>
                <w:sz w:val="24"/>
                <w:szCs w:val="24"/>
                <w:lang w:eastAsia="en-GB"/>
              </w:rPr>
            </w:pPr>
          </w:p>
          <w:p w:rsidR="007B74A8" w:rsidRPr="00834DC6" w:rsidRDefault="007B74A8" w:rsidP="007B74A8">
            <w:pPr>
              <w:ind w:hanging="360"/>
              <w:rPr>
                <w:rFonts w:ascii="Calibri" w:eastAsia="Times New Roman" w:hAnsi="Calibri" w:cs="Times New Roman"/>
                <w:lang w:eastAsia="en-GB"/>
              </w:rPr>
            </w:pPr>
            <w:r w:rsidRPr="00834DC6">
              <w:rPr>
                <w:rFonts w:ascii="Calibri" w:eastAsia="Times New Roman" w:hAnsi="Calibri" w:cs="Times New Roman"/>
                <w:lang w:eastAsia="en-GB"/>
              </w:rPr>
              <w:t>·</w:t>
            </w:r>
            <w:r w:rsidRPr="00834DC6">
              <w:rPr>
                <w:rFonts w:ascii="Times New Roman" w:eastAsia="Times New Roman" w:hAnsi="Times New Roman" w:cs="Times New Roman"/>
                <w:sz w:val="14"/>
                <w:szCs w:val="14"/>
                <w:lang w:eastAsia="en-GB"/>
              </w:rPr>
              <w:t xml:space="preserve">         </w:t>
            </w:r>
            <w:r w:rsidRPr="00834DC6">
              <w:rPr>
                <w:rFonts w:ascii="Calibri" w:eastAsia="Times New Roman" w:hAnsi="Calibri" w:cs="Times New Roman"/>
                <w:lang w:eastAsia="en-GB"/>
              </w:rPr>
              <w:t>Attend option events and parents’ ev</w:t>
            </w:r>
            <w:r w:rsidR="00B52392" w:rsidRPr="00834DC6">
              <w:rPr>
                <w:rFonts w:ascii="Calibri" w:eastAsia="Times New Roman" w:hAnsi="Calibri" w:cs="Times New Roman"/>
                <w:lang w:eastAsia="en-GB"/>
              </w:rPr>
              <w:t>enings to discuss courses</w:t>
            </w:r>
            <w:r w:rsidRPr="00834DC6">
              <w:rPr>
                <w:rFonts w:ascii="Calibri" w:eastAsia="Times New Roman" w:hAnsi="Calibri" w:cs="Times New Roman"/>
                <w:lang w:eastAsia="en-GB"/>
              </w:rPr>
              <w:t xml:space="preserve"> and progression pathways, welfare and financial questions</w:t>
            </w:r>
            <w:r w:rsidR="00B52392" w:rsidRPr="00834DC6">
              <w:rPr>
                <w:rFonts w:ascii="Calibri" w:eastAsia="Times New Roman" w:hAnsi="Calibri" w:cs="Times New Roman"/>
                <w:lang w:eastAsia="en-GB"/>
              </w:rPr>
              <w:t>.</w:t>
            </w:r>
          </w:p>
          <w:p w:rsidR="007B74A8" w:rsidRPr="00834DC6" w:rsidRDefault="007B74A8" w:rsidP="007B74A8">
            <w:pPr>
              <w:ind w:hanging="360"/>
              <w:rPr>
                <w:rFonts w:ascii="Times New Roman" w:eastAsia="Times New Roman" w:hAnsi="Times New Roman" w:cs="Times New Roman"/>
                <w:sz w:val="24"/>
                <w:szCs w:val="24"/>
                <w:lang w:eastAsia="en-GB"/>
              </w:rPr>
            </w:pPr>
          </w:p>
          <w:p w:rsidR="007B74A8" w:rsidRPr="00834DC6" w:rsidRDefault="007B74A8" w:rsidP="007B74A8">
            <w:pPr>
              <w:ind w:hanging="360"/>
              <w:rPr>
                <w:rFonts w:ascii="Calibri" w:eastAsia="Times New Roman" w:hAnsi="Calibri" w:cs="Times New Roman"/>
                <w:lang w:eastAsia="en-GB"/>
              </w:rPr>
            </w:pPr>
            <w:r w:rsidRPr="00834DC6">
              <w:rPr>
                <w:rFonts w:ascii="Calibri" w:eastAsia="Times New Roman" w:hAnsi="Calibri" w:cs="Times New Roman"/>
                <w:lang w:eastAsia="en-GB"/>
              </w:rPr>
              <w:t>·</w:t>
            </w:r>
            <w:r w:rsidRPr="00834DC6">
              <w:rPr>
                <w:rFonts w:ascii="Times New Roman" w:eastAsia="Times New Roman" w:hAnsi="Times New Roman" w:cs="Times New Roman"/>
                <w:sz w:val="14"/>
                <w:szCs w:val="14"/>
                <w:lang w:eastAsia="en-GB"/>
              </w:rPr>
              <w:t xml:space="preserve">         </w:t>
            </w:r>
            <w:r w:rsidRPr="00834DC6">
              <w:rPr>
                <w:rFonts w:ascii="Calibri" w:eastAsia="Times New Roman" w:hAnsi="Calibri" w:cs="Times New Roman"/>
                <w:lang w:eastAsia="en-GB"/>
              </w:rPr>
              <w:t>Provide application techniques workshops and interview preparation for college in scho</w:t>
            </w:r>
            <w:r w:rsidR="00B52392" w:rsidRPr="00834DC6">
              <w:rPr>
                <w:rFonts w:ascii="Calibri" w:eastAsia="Times New Roman" w:hAnsi="Calibri" w:cs="Times New Roman"/>
                <w:lang w:eastAsia="en-GB"/>
              </w:rPr>
              <w:t>ols. Also using digital and Career C</w:t>
            </w:r>
            <w:r w:rsidRPr="00834DC6">
              <w:rPr>
                <w:rFonts w:ascii="Calibri" w:eastAsia="Times New Roman" w:hAnsi="Calibri" w:cs="Times New Roman"/>
                <w:lang w:eastAsia="en-GB"/>
              </w:rPr>
              <w:t>oach web package to do this.</w:t>
            </w:r>
          </w:p>
          <w:p w:rsidR="007B74A8" w:rsidRPr="00834DC6" w:rsidRDefault="007B74A8" w:rsidP="007B74A8">
            <w:pPr>
              <w:ind w:hanging="360"/>
              <w:rPr>
                <w:rFonts w:ascii="Times New Roman" w:eastAsia="Times New Roman" w:hAnsi="Times New Roman" w:cs="Times New Roman"/>
                <w:sz w:val="24"/>
                <w:szCs w:val="24"/>
                <w:lang w:eastAsia="en-GB"/>
              </w:rPr>
            </w:pPr>
          </w:p>
          <w:p w:rsidR="007B74A8" w:rsidRPr="00834DC6" w:rsidRDefault="007B74A8" w:rsidP="007B74A8">
            <w:pPr>
              <w:ind w:hanging="360"/>
              <w:rPr>
                <w:rFonts w:ascii="Times New Roman" w:eastAsia="Times New Roman" w:hAnsi="Times New Roman" w:cs="Times New Roman"/>
                <w:sz w:val="24"/>
                <w:szCs w:val="24"/>
                <w:lang w:eastAsia="en-GB"/>
              </w:rPr>
            </w:pPr>
            <w:r w:rsidRPr="00834DC6">
              <w:rPr>
                <w:rFonts w:ascii="Calibri" w:eastAsia="Times New Roman" w:hAnsi="Calibri" w:cs="Times New Roman"/>
                <w:lang w:eastAsia="en-GB"/>
              </w:rPr>
              <w:t>·</w:t>
            </w:r>
            <w:r w:rsidRPr="00834DC6">
              <w:rPr>
                <w:rFonts w:ascii="Times New Roman" w:eastAsia="Times New Roman" w:hAnsi="Times New Roman" w:cs="Times New Roman"/>
                <w:sz w:val="14"/>
                <w:szCs w:val="14"/>
                <w:lang w:eastAsia="en-GB"/>
              </w:rPr>
              <w:t xml:space="preserve">         </w:t>
            </w:r>
            <w:r w:rsidRPr="00834DC6">
              <w:rPr>
                <w:rFonts w:ascii="Calibri" w:eastAsia="Times New Roman" w:hAnsi="Calibri" w:cs="Times New Roman"/>
                <w:lang w:eastAsia="en-GB"/>
              </w:rPr>
              <w:t>Arrange educational experiences for school pupils to visit our industry-standard facilities and have a real insight into what college life is like. Embedding</w:t>
            </w:r>
            <w:r w:rsidRPr="00834DC6">
              <w:rPr>
                <w:rFonts w:ascii="Times New Roman" w:eastAsia="Times New Roman" w:hAnsi="Times New Roman" w:cs="Times New Roman"/>
                <w:sz w:val="14"/>
                <w:szCs w:val="14"/>
                <w:lang w:eastAsia="en-GB"/>
              </w:rPr>
              <w:t xml:space="preserve"> </w:t>
            </w:r>
            <w:r w:rsidRPr="00834DC6">
              <w:rPr>
                <w:rFonts w:ascii="Calibri" w:eastAsia="Times New Roman" w:hAnsi="Calibri" w:cs="Times New Roman"/>
                <w:lang w:eastAsia="en-GB"/>
              </w:rPr>
              <w:t>curriculum focuse</w:t>
            </w:r>
            <w:r w:rsidR="00B52392" w:rsidRPr="00834DC6">
              <w:rPr>
                <w:rFonts w:ascii="Calibri" w:eastAsia="Times New Roman" w:hAnsi="Calibri" w:cs="Times New Roman"/>
                <w:lang w:eastAsia="en-GB"/>
              </w:rPr>
              <w:t>d awareness/engagement sessions.</w:t>
            </w:r>
          </w:p>
          <w:p w:rsidR="007B74A8" w:rsidRPr="00834DC6" w:rsidRDefault="007B74A8" w:rsidP="007B74A8">
            <w:pPr>
              <w:rPr>
                <w:rFonts w:ascii="Calibri" w:eastAsia="Times New Roman" w:hAnsi="Calibri" w:cs="Times New Roman"/>
                <w:lang w:eastAsia="en-GB"/>
              </w:rPr>
            </w:pPr>
          </w:p>
          <w:p w:rsidR="007B74A8" w:rsidRPr="00834DC6" w:rsidRDefault="00B52392" w:rsidP="007B74A8">
            <w:pPr>
              <w:rPr>
                <w:rFonts w:ascii="Calibri" w:eastAsia="Times New Roman" w:hAnsi="Calibri" w:cs="Times New Roman"/>
                <w:lang w:eastAsia="en-GB"/>
              </w:rPr>
            </w:pPr>
            <w:r w:rsidRPr="00834DC6">
              <w:rPr>
                <w:rFonts w:ascii="Calibri" w:eastAsia="Times New Roman" w:hAnsi="Calibri" w:cs="Times New Roman"/>
                <w:lang w:eastAsia="en-GB"/>
              </w:rPr>
              <w:t>Support the work of our</w:t>
            </w:r>
            <w:r w:rsidR="007B74A8" w:rsidRPr="00834DC6">
              <w:rPr>
                <w:rFonts w:ascii="Calibri" w:eastAsia="Times New Roman" w:hAnsi="Calibri" w:cs="Times New Roman"/>
                <w:lang w:eastAsia="en-GB"/>
              </w:rPr>
              <w:t xml:space="preserve"> pre 16 provi</w:t>
            </w:r>
            <w:r w:rsidRPr="00834DC6">
              <w:rPr>
                <w:rFonts w:ascii="Calibri" w:eastAsia="Times New Roman" w:hAnsi="Calibri" w:cs="Times New Roman"/>
                <w:lang w:eastAsia="en-GB"/>
              </w:rPr>
              <w:t xml:space="preserve">sions at college and offer face-to-face guidance interviews. </w:t>
            </w:r>
          </w:p>
          <w:p w:rsidR="00B52392" w:rsidRPr="00834DC6" w:rsidRDefault="00B52392" w:rsidP="007B74A8">
            <w:pPr>
              <w:rPr>
                <w:rFonts w:ascii="Times New Roman" w:eastAsia="Times New Roman" w:hAnsi="Times New Roman" w:cs="Times New Roman"/>
                <w:sz w:val="24"/>
                <w:szCs w:val="24"/>
                <w:lang w:eastAsia="en-GB"/>
              </w:rPr>
            </w:pPr>
          </w:p>
          <w:p w:rsidR="00780266" w:rsidRPr="00834DC6" w:rsidRDefault="007B74A8" w:rsidP="007B74A8">
            <w:pPr>
              <w:rPr>
                <w:sz w:val="20"/>
                <w:szCs w:val="20"/>
              </w:rPr>
            </w:pPr>
            <w:r w:rsidRPr="00834DC6">
              <w:rPr>
                <w:rFonts w:ascii="Calibri" w:eastAsia="Times New Roman" w:hAnsi="Calibri" w:cs="Times New Roman"/>
                <w:lang w:eastAsia="en-GB"/>
              </w:rPr>
              <w:t>Centrally planned and coordinated programme wit</w:t>
            </w:r>
            <w:r w:rsidR="00B52392" w:rsidRPr="00834DC6">
              <w:rPr>
                <w:rFonts w:ascii="Calibri" w:eastAsia="Times New Roman" w:hAnsi="Calibri" w:cs="Times New Roman"/>
                <w:lang w:eastAsia="en-GB"/>
              </w:rPr>
              <w:t>h the White Rose Academy Trust c</w:t>
            </w:r>
            <w:r w:rsidRPr="00834DC6">
              <w:rPr>
                <w:rFonts w:ascii="Calibri" w:eastAsia="Times New Roman" w:hAnsi="Calibri" w:cs="Times New Roman"/>
                <w:lang w:eastAsia="en-GB"/>
              </w:rPr>
              <w:t>areers guidance officer.</w:t>
            </w:r>
          </w:p>
          <w:p w:rsidR="00780266" w:rsidRPr="007B74A8" w:rsidRDefault="00780266" w:rsidP="00424A76">
            <w:pPr>
              <w:rPr>
                <w:b/>
                <w:color w:val="FF0000"/>
                <w:sz w:val="20"/>
                <w:szCs w:val="20"/>
              </w:rPr>
            </w:pPr>
          </w:p>
        </w:tc>
        <w:tc>
          <w:tcPr>
            <w:tcW w:w="284" w:type="dxa"/>
            <w:vMerge w:val="restart"/>
            <w:tcBorders>
              <w:top w:val="nil"/>
              <w:bottom w:val="nil"/>
            </w:tcBorders>
          </w:tcPr>
          <w:p w:rsidR="00780266" w:rsidRDefault="00780266" w:rsidP="009A7988"/>
        </w:tc>
        <w:tc>
          <w:tcPr>
            <w:tcW w:w="4819" w:type="dxa"/>
          </w:tcPr>
          <w:p w:rsidR="00780266" w:rsidRDefault="00780266" w:rsidP="009A7988">
            <w:r>
              <w:t>Ensure students have the opportunity to access specialist guidance when making a complete transformation to their career plan</w:t>
            </w:r>
            <w:r w:rsidR="005158D5">
              <w:t>.</w:t>
            </w:r>
          </w:p>
          <w:p w:rsidR="005158D5" w:rsidRDefault="005158D5" w:rsidP="009A7988"/>
          <w:p w:rsidR="00780266" w:rsidRDefault="00780266" w:rsidP="009A195E">
            <w:r>
              <w:t>Students discuss their career pathway (sector and job) with tutor/coach and record act</w:t>
            </w:r>
            <w:r w:rsidR="005158D5">
              <w:t>ions on PPP.</w:t>
            </w:r>
          </w:p>
          <w:p w:rsidR="005158D5" w:rsidRDefault="005158D5" w:rsidP="009A195E"/>
          <w:p w:rsidR="00780266" w:rsidRDefault="00780266" w:rsidP="009A195E">
            <w:r>
              <w:t>Planned career</w:t>
            </w:r>
            <w:r w:rsidR="005158D5">
              <w:t>s are</w:t>
            </w:r>
            <w:r>
              <w:t xml:space="preserve"> recorded on ProMonitor/Pro Portal</w:t>
            </w:r>
            <w:r w:rsidR="005158D5">
              <w:t>.</w:t>
            </w:r>
          </w:p>
          <w:p w:rsidR="00780266" w:rsidRDefault="00780266" w:rsidP="009A195E">
            <w:r w:rsidRPr="00B65D86">
              <w:rPr>
                <w:color w:val="808080" w:themeColor="background1" w:themeShade="80"/>
                <w:sz w:val="20"/>
                <w:szCs w:val="20"/>
              </w:rPr>
              <w:t xml:space="preserve">Gatsby Benchmark </w:t>
            </w:r>
            <w:r>
              <w:rPr>
                <w:color w:val="808080" w:themeColor="background1" w:themeShade="80"/>
                <w:sz w:val="20"/>
                <w:szCs w:val="20"/>
              </w:rPr>
              <w:t>–</w:t>
            </w:r>
            <w:r w:rsidRPr="00B65D86">
              <w:rPr>
                <w:color w:val="808080" w:themeColor="background1" w:themeShade="80"/>
                <w:sz w:val="20"/>
                <w:szCs w:val="20"/>
              </w:rPr>
              <w:t xml:space="preserve"> </w:t>
            </w:r>
            <w:r>
              <w:rPr>
                <w:color w:val="808080" w:themeColor="background1" w:themeShade="80"/>
                <w:sz w:val="20"/>
                <w:szCs w:val="20"/>
              </w:rPr>
              <w:t>3,8</w:t>
            </w:r>
          </w:p>
        </w:tc>
      </w:tr>
      <w:tr w:rsidR="00780266" w:rsidTr="006A583A">
        <w:tc>
          <w:tcPr>
            <w:tcW w:w="5103" w:type="dxa"/>
            <w:gridSpan w:val="3"/>
            <w:vMerge/>
          </w:tcPr>
          <w:p w:rsidR="00780266" w:rsidRDefault="00780266" w:rsidP="009A7988"/>
        </w:tc>
        <w:tc>
          <w:tcPr>
            <w:tcW w:w="284" w:type="dxa"/>
            <w:vMerge/>
            <w:tcBorders>
              <w:bottom w:val="nil"/>
            </w:tcBorders>
          </w:tcPr>
          <w:p w:rsidR="00780266" w:rsidRDefault="00780266" w:rsidP="00257EA6"/>
        </w:tc>
        <w:tc>
          <w:tcPr>
            <w:tcW w:w="4819" w:type="dxa"/>
          </w:tcPr>
          <w:p w:rsidR="00780266" w:rsidRDefault="00780266" w:rsidP="00257EA6">
            <w:r>
              <w:t>Equip coaching tutors, tutors and pastoral st</w:t>
            </w:r>
            <w:r w:rsidR="005158D5">
              <w:t>aff with the skills to have one-to-</w:t>
            </w:r>
            <w:r>
              <w:t>one careers conversations with their students and understand when to refer to specialist guidance</w:t>
            </w:r>
            <w:r w:rsidR="005158D5">
              <w:t>.</w:t>
            </w:r>
          </w:p>
          <w:p w:rsidR="00780266" w:rsidRDefault="00780266" w:rsidP="00257EA6">
            <w:r w:rsidRPr="00B65D86">
              <w:rPr>
                <w:color w:val="808080" w:themeColor="background1" w:themeShade="80"/>
                <w:sz w:val="20"/>
                <w:szCs w:val="20"/>
              </w:rPr>
              <w:t xml:space="preserve">Gatsby Benchmark </w:t>
            </w:r>
            <w:r>
              <w:rPr>
                <w:color w:val="808080" w:themeColor="background1" w:themeShade="80"/>
                <w:sz w:val="20"/>
                <w:szCs w:val="20"/>
              </w:rPr>
              <w:t>–</w:t>
            </w:r>
            <w:r w:rsidRPr="00B65D86">
              <w:rPr>
                <w:color w:val="808080" w:themeColor="background1" w:themeShade="80"/>
                <w:sz w:val="20"/>
                <w:szCs w:val="20"/>
              </w:rPr>
              <w:t xml:space="preserve"> </w:t>
            </w:r>
            <w:r>
              <w:rPr>
                <w:color w:val="808080" w:themeColor="background1" w:themeShade="80"/>
                <w:sz w:val="20"/>
                <w:szCs w:val="20"/>
              </w:rPr>
              <w:t>3, 4, 8</w:t>
            </w:r>
          </w:p>
        </w:tc>
      </w:tr>
      <w:tr w:rsidR="00780266" w:rsidTr="006A583A">
        <w:tc>
          <w:tcPr>
            <w:tcW w:w="5103" w:type="dxa"/>
            <w:gridSpan w:val="3"/>
            <w:vMerge/>
          </w:tcPr>
          <w:p w:rsidR="00780266" w:rsidRDefault="00780266" w:rsidP="009A7988">
            <w:pPr>
              <w:pBdr>
                <w:top w:val="nil"/>
                <w:left w:val="nil"/>
                <w:bottom w:val="nil"/>
                <w:right w:val="nil"/>
                <w:between w:val="nil"/>
              </w:pBdr>
              <w:contextualSpacing/>
            </w:pPr>
          </w:p>
        </w:tc>
        <w:tc>
          <w:tcPr>
            <w:tcW w:w="284" w:type="dxa"/>
            <w:vMerge/>
            <w:tcBorders>
              <w:bottom w:val="nil"/>
            </w:tcBorders>
          </w:tcPr>
          <w:p w:rsidR="00780266" w:rsidRDefault="00780266" w:rsidP="009A7988">
            <w:pPr>
              <w:pBdr>
                <w:top w:val="nil"/>
                <w:left w:val="nil"/>
                <w:bottom w:val="nil"/>
                <w:right w:val="nil"/>
                <w:between w:val="nil"/>
              </w:pBdr>
              <w:contextualSpacing/>
            </w:pPr>
          </w:p>
        </w:tc>
        <w:tc>
          <w:tcPr>
            <w:tcW w:w="4819" w:type="dxa"/>
          </w:tcPr>
          <w:p w:rsidR="00780266" w:rsidRDefault="00780266" w:rsidP="009A7988">
            <w:pPr>
              <w:pBdr>
                <w:top w:val="nil"/>
                <w:left w:val="nil"/>
                <w:bottom w:val="nil"/>
                <w:right w:val="nil"/>
                <w:between w:val="nil"/>
              </w:pBdr>
              <w:contextualSpacing/>
            </w:pPr>
            <w:r>
              <w:t>Driv</w:t>
            </w:r>
            <w:r w:rsidR="005158D5">
              <w:t>e the use and impact of Career</w:t>
            </w:r>
            <w:r>
              <w:t xml:space="preserve"> Coach across curriculum, working with Marketing to ensure that this tool is fit for purpose</w:t>
            </w:r>
            <w:r w:rsidR="005158D5">
              <w:t>.</w:t>
            </w:r>
          </w:p>
          <w:p w:rsidR="00780266" w:rsidRDefault="00780266" w:rsidP="009A7988">
            <w:pPr>
              <w:pBdr>
                <w:top w:val="nil"/>
                <w:left w:val="nil"/>
                <w:bottom w:val="nil"/>
                <w:right w:val="nil"/>
                <w:between w:val="nil"/>
              </w:pBdr>
              <w:contextualSpacing/>
            </w:pPr>
            <w:r w:rsidRPr="00B65D86">
              <w:rPr>
                <w:color w:val="808080" w:themeColor="background1" w:themeShade="80"/>
                <w:sz w:val="20"/>
                <w:szCs w:val="20"/>
              </w:rPr>
              <w:t xml:space="preserve">Gatsby Benchmark </w:t>
            </w:r>
            <w:r>
              <w:rPr>
                <w:color w:val="808080" w:themeColor="background1" w:themeShade="80"/>
                <w:sz w:val="20"/>
                <w:szCs w:val="20"/>
              </w:rPr>
              <w:t>–</w:t>
            </w:r>
            <w:r w:rsidRPr="00B65D86">
              <w:rPr>
                <w:color w:val="808080" w:themeColor="background1" w:themeShade="80"/>
                <w:sz w:val="20"/>
                <w:szCs w:val="20"/>
              </w:rPr>
              <w:t xml:space="preserve"> </w:t>
            </w:r>
            <w:r>
              <w:rPr>
                <w:color w:val="808080" w:themeColor="background1" w:themeShade="80"/>
                <w:sz w:val="20"/>
                <w:szCs w:val="20"/>
              </w:rPr>
              <w:t>2,3,4,5</w:t>
            </w:r>
          </w:p>
        </w:tc>
      </w:tr>
      <w:tr w:rsidR="00780266" w:rsidTr="006A583A">
        <w:tc>
          <w:tcPr>
            <w:tcW w:w="5103" w:type="dxa"/>
            <w:gridSpan w:val="3"/>
            <w:vMerge/>
          </w:tcPr>
          <w:p w:rsidR="00780266" w:rsidRDefault="00780266" w:rsidP="009A7988">
            <w:pPr>
              <w:pBdr>
                <w:top w:val="nil"/>
                <w:left w:val="nil"/>
                <w:bottom w:val="nil"/>
                <w:right w:val="nil"/>
                <w:between w:val="nil"/>
              </w:pBdr>
              <w:contextualSpacing/>
            </w:pPr>
          </w:p>
        </w:tc>
        <w:tc>
          <w:tcPr>
            <w:tcW w:w="284" w:type="dxa"/>
            <w:vMerge/>
            <w:tcBorders>
              <w:bottom w:val="nil"/>
            </w:tcBorders>
          </w:tcPr>
          <w:p w:rsidR="00780266" w:rsidRDefault="00780266" w:rsidP="009A7988">
            <w:pPr>
              <w:pBdr>
                <w:top w:val="nil"/>
                <w:left w:val="nil"/>
                <w:bottom w:val="nil"/>
                <w:right w:val="nil"/>
                <w:between w:val="nil"/>
              </w:pBdr>
              <w:contextualSpacing/>
            </w:pPr>
          </w:p>
        </w:tc>
        <w:tc>
          <w:tcPr>
            <w:tcW w:w="4819" w:type="dxa"/>
          </w:tcPr>
          <w:p w:rsidR="00780266" w:rsidRDefault="00780266" w:rsidP="009A7988">
            <w:pPr>
              <w:pBdr>
                <w:top w:val="nil"/>
                <w:left w:val="nil"/>
                <w:bottom w:val="nil"/>
                <w:right w:val="nil"/>
                <w:between w:val="nil"/>
              </w:pBdr>
              <w:contextualSpacing/>
            </w:pPr>
            <w:r>
              <w:t>Create with Marketing a web page (landing page) to link to the website</w:t>
            </w:r>
            <w:r w:rsidR="005158D5">
              <w:t xml:space="preserve"> that provides careers advice for</w:t>
            </w:r>
            <w:r>
              <w:t xml:space="preserve"> future, current and past students</w:t>
            </w:r>
            <w:r w:rsidR="005158D5">
              <w:t>.</w:t>
            </w:r>
          </w:p>
          <w:p w:rsidR="00780266" w:rsidRDefault="00780266" w:rsidP="009A7988">
            <w:pPr>
              <w:pBdr>
                <w:top w:val="nil"/>
                <w:left w:val="nil"/>
                <w:bottom w:val="nil"/>
                <w:right w:val="nil"/>
                <w:between w:val="nil"/>
              </w:pBdr>
              <w:contextualSpacing/>
            </w:pPr>
            <w:r w:rsidRPr="00B65D86">
              <w:rPr>
                <w:color w:val="808080" w:themeColor="background1" w:themeShade="80"/>
                <w:sz w:val="20"/>
                <w:szCs w:val="20"/>
              </w:rPr>
              <w:t xml:space="preserve">Gatsby Benchmark </w:t>
            </w:r>
            <w:r>
              <w:rPr>
                <w:color w:val="808080" w:themeColor="background1" w:themeShade="80"/>
                <w:sz w:val="20"/>
                <w:szCs w:val="20"/>
              </w:rPr>
              <w:t>–</w:t>
            </w:r>
            <w:r w:rsidRPr="00B65D86">
              <w:rPr>
                <w:color w:val="808080" w:themeColor="background1" w:themeShade="80"/>
                <w:sz w:val="20"/>
                <w:szCs w:val="20"/>
              </w:rPr>
              <w:t xml:space="preserve"> </w:t>
            </w:r>
            <w:r>
              <w:rPr>
                <w:color w:val="808080" w:themeColor="background1" w:themeShade="80"/>
                <w:sz w:val="20"/>
                <w:szCs w:val="20"/>
              </w:rPr>
              <w:t>3</w:t>
            </w:r>
          </w:p>
        </w:tc>
      </w:tr>
      <w:tr w:rsidR="007B74A8" w:rsidTr="00465733">
        <w:tc>
          <w:tcPr>
            <w:tcW w:w="5103" w:type="dxa"/>
            <w:gridSpan w:val="3"/>
            <w:vMerge/>
            <w:tcBorders>
              <w:bottom w:val="single" w:sz="4" w:space="0" w:color="auto"/>
            </w:tcBorders>
          </w:tcPr>
          <w:p w:rsidR="007B74A8" w:rsidRPr="00A55C31" w:rsidRDefault="007B74A8" w:rsidP="007B74A8">
            <w:pPr>
              <w:pBdr>
                <w:top w:val="nil"/>
                <w:left w:val="nil"/>
                <w:bottom w:val="nil"/>
                <w:right w:val="nil"/>
                <w:between w:val="nil"/>
              </w:pBdr>
              <w:contextualSpacing/>
              <w:rPr>
                <w:color w:val="FF0000"/>
              </w:rPr>
            </w:pPr>
          </w:p>
        </w:tc>
        <w:tc>
          <w:tcPr>
            <w:tcW w:w="284" w:type="dxa"/>
            <w:vMerge/>
            <w:tcBorders>
              <w:bottom w:val="single" w:sz="4" w:space="0" w:color="auto"/>
            </w:tcBorders>
          </w:tcPr>
          <w:p w:rsidR="007B74A8" w:rsidRPr="00A55C31" w:rsidRDefault="007B74A8" w:rsidP="007B74A8">
            <w:pPr>
              <w:pBdr>
                <w:top w:val="nil"/>
                <w:left w:val="nil"/>
                <w:bottom w:val="nil"/>
                <w:right w:val="nil"/>
                <w:between w:val="nil"/>
              </w:pBdr>
              <w:contextualSpacing/>
              <w:rPr>
                <w:color w:val="FF0000"/>
              </w:rPr>
            </w:pPr>
          </w:p>
        </w:tc>
        <w:tc>
          <w:tcPr>
            <w:tcW w:w="4819" w:type="dxa"/>
            <w:tcBorders>
              <w:bottom w:val="single" w:sz="4" w:space="0" w:color="auto"/>
            </w:tcBorders>
          </w:tcPr>
          <w:p w:rsidR="007B74A8" w:rsidRPr="00834DC6" w:rsidRDefault="007B74A8" w:rsidP="007B74A8">
            <w:pPr>
              <w:pBdr>
                <w:top w:val="nil"/>
                <w:left w:val="nil"/>
                <w:bottom w:val="nil"/>
                <w:right w:val="nil"/>
                <w:between w:val="nil"/>
              </w:pBdr>
              <w:contextualSpacing/>
            </w:pPr>
            <w:r w:rsidRPr="00834DC6">
              <w:t>Admissions work with curriculum to ensure consistent messages and information deliver</w:t>
            </w:r>
            <w:r w:rsidR="00B52392" w:rsidRPr="00834DC6">
              <w:t xml:space="preserve">ed during the interview </w:t>
            </w:r>
            <w:r w:rsidR="00B52392" w:rsidRPr="00834DC6">
              <w:lastRenderedPageBreak/>
              <w:t>process</w:t>
            </w:r>
            <w:r w:rsidR="002A2C5E" w:rsidRPr="00834DC6">
              <w:t>, including</w:t>
            </w:r>
            <w:r w:rsidRPr="00834DC6">
              <w:t xml:space="preserve"> options available and what pathways are offered in </w:t>
            </w:r>
            <w:r w:rsidR="00B52392" w:rsidRPr="00834DC6">
              <w:t xml:space="preserve">the </w:t>
            </w:r>
            <w:r w:rsidRPr="00834DC6">
              <w:t xml:space="preserve">department. </w:t>
            </w:r>
          </w:p>
          <w:p w:rsidR="007B74A8" w:rsidRPr="00834DC6" w:rsidRDefault="007B74A8" w:rsidP="007B74A8">
            <w:pPr>
              <w:pBdr>
                <w:top w:val="nil"/>
                <w:left w:val="nil"/>
                <w:bottom w:val="nil"/>
                <w:right w:val="nil"/>
                <w:between w:val="nil"/>
              </w:pBdr>
              <w:contextualSpacing/>
            </w:pPr>
            <w:r w:rsidRPr="00834DC6">
              <w:rPr>
                <w:sz w:val="20"/>
                <w:szCs w:val="20"/>
              </w:rPr>
              <w:t>Gatsby Benchmark – 1 and 3</w:t>
            </w:r>
          </w:p>
          <w:p w:rsidR="007B74A8" w:rsidRPr="00834DC6" w:rsidRDefault="007B74A8" w:rsidP="007B74A8">
            <w:pPr>
              <w:pBdr>
                <w:top w:val="nil"/>
                <w:left w:val="nil"/>
                <w:bottom w:val="nil"/>
                <w:right w:val="nil"/>
                <w:between w:val="nil"/>
              </w:pBdr>
              <w:contextualSpacing/>
            </w:pPr>
          </w:p>
          <w:p w:rsidR="007B74A8" w:rsidRPr="00834DC6" w:rsidRDefault="007B74A8" w:rsidP="007B74A8">
            <w:pPr>
              <w:pBdr>
                <w:top w:val="nil"/>
                <w:left w:val="nil"/>
                <w:bottom w:val="nil"/>
                <w:right w:val="nil"/>
                <w:between w:val="nil"/>
              </w:pBdr>
              <w:contextualSpacing/>
            </w:pPr>
            <w:r w:rsidRPr="00834DC6">
              <w:t>The Schools Liaison team provide</w:t>
            </w:r>
            <w:r w:rsidR="00B52392" w:rsidRPr="00834DC6">
              <w:t>s</w:t>
            </w:r>
            <w:r w:rsidRPr="00834DC6">
              <w:t xml:space="preserve"> career and LMI information direct to students, staff and parents/careers (at schools). This offer is available</w:t>
            </w:r>
            <w:r w:rsidR="00B52392" w:rsidRPr="00834DC6">
              <w:t xml:space="preserve"> from Key S</w:t>
            </w:r>
            <w:r w:rsidRPr="00834DC6">
              <w:t>tage 3 and addresses the needs of pupils and what guidance is needed at different stages, working jointly with the school</w:t>
            </w:r>
            <w:r w:rsidR="00B52392" w:rsidRPr="00834DC6">
              <w:t>.</w:t>
            </w:r>
          </w:p>
          <w:p w:rsidR="007B74A8" w:rsidRDefault="007B74A8" w:rsidP="007B74A8">
            <w:pPr>
              <w:pBdr>
                <w:top w:val="nil"/>
                <w:left w:val="nil"/>
                <w:bottom w:val="nil"/>
                <w:right w:val="nil"/>
                <w:between w:val="nil"/>
              </w:pBdr>
              <w:contextualSpacing/>
              <w:rPr>
                <w:color w:val="808080" w:themeColor="background1" w:themeShade="80"/>
                <w:sz w:val="20"/>
                <w:szCs w:val="20"/>
              </w:rPr>
            </w:pPr>
            <w:r w:rsidRPr="00B65D86">
              <w:rPr>
                <w:color w:val="808080" w:themeColor="background1" w:themeShade="80"/>
                <w:sz w:val="20"/>
                <w:szCs w:val="20"/>
              </w:rPr>
              <w:t xml:space="preserve">Gatsby Benchmark </w:t>
            </w:r>
            <w:r>
              <w:rPr>
                <w:color w:val="808080" w:themeColor="background1" w:themeShade="80"/>
                <w:sz w:val="20"/>
                <w:szCs w:val="20"/>
              </w:rPr>
              <w:t>–</w:t>
            </w:r>
            <w:r w:rsidRPr="00B65D86">
              <w:rPr>
                <w:color w:val="808080" w:themeColor="background1" w:themeShade="80"/>
                <w:sz w:val="20"/>
                <w:szCs w:val="20"/>
              </w:rPr>
              <w:t xml:space="preserve"> </w:t>
            </w:r>
            <w:r>
              <w:rPr>
                <w:color w:val="808080" w:themeColor="background1" w:themeShade="80"/>
                <w:sz w:val="20"/>
                <w:szCs w:val="20"/>
              </w:rPr>
              <w:t>3</w:t>
            </w:r>
          </w:p>
          <w:p w:rsidR="007B74A8" w:rsidRPr="002A2C5E" w:rsidRDefault="007B74A8" w:rsidP="007B74A8">
            <w:pPr>
              <w:pBdr>
                <w:top w:val="nil"/>
                <w:left w:val="nil"/>
                <w:bottom w:val="nil"/>
                <w:right w:val="nil"/>
                <w:between w:val="nil"/>
              </w:pBdr>
              <w:contextualSpacing/>
            </w:pPr>
            <w:r w:rsidRPr="002A2C5E">
              <w:t>Make the curriculum come to life - linking learning / courses to career path</w:t>
            </w:r>
            <w:r w:rsidR="00B52392" w:rsidRPr="002A2C5E">
              <w:t>s.</w:t>
            </w:r>
          </w:p>
          <w:p w:rsidR="007B74A8" w:rsidRPr="00834DC6" w:rsidRDefault="007B74A8" w:rsidP="007B74A8">
            <w:pPr>
              <w:pBdr>
                <w:top w:val="nil"/>
                <w:left w:val="nil"/>
                <w:bottom w:val="nil"/>
                <w:right w:val="nil"/>
                <w:between w:val="nil"/>
              </w:pBdr>
              <w:contextualSpacing/>
              <w:rPr>
                <w:sz w:val="20"/>
                <w:szCs w:val="20"/>
              </w:rPr>
            </w:pPr>
            <w:r w:rsidRPr="00834DC6">
              <w:rPr>
                <w:sz w:val="20"/>
                <w:szCs w:val="20"/>
              </w:rPr>
              <w:t>Gatsby Benchmark – 4</w:t>
            </w:r>
          </w:p>
          <w:p w:rsidR="007B74A8" w:rsidRPr="00834DC6" w:rsidRDefault="007B74A8" w:rsidP="007B74A8">
            <w:pPr>
              <w:pBdr>
                <w:top w:val="nil"/>
                <w:left w:val="nil"/>
                <w:bottom w:val="nil"/>
                <w:right w:val="nil"/>
                <w:between w:val="nil"/>
              </w:pBdr>
              <w:contextualSpacing/>
              <w:rPr>
                <w:sz w:val="20"/>
                <w:szCs w:val="20"/>
              </w:rPr>
            </w:pPr>
          </w:p>
          <w:p w:rsidR="007B74A8" w:rsidRPr="00834DC6" w:rsidRDefault="007B74A8" w:rsidP="007B74A8">
            <w:pPr>
              <w:rPr>
                <w:rFonts w:ascii="Times New Roman" w:eastAsia="Times New Roman" w:hAnsi="Times New Roman" w:cs="Times New Roman"/>
                <w:sz w:val="24"/>
                <w:szCs w:val="24"/>
                <w:lang w:eastAsia="en-GB"/>
              </w:rPr>
            </w:pPr>
            <w:r w:rsidRPr="00834DC6">
              <w:rPr>
                <w:rFonts w:ascii="Calibri" w:eastAsia="Times New Roman" w:hAnsi="Calibri" w:cs="Times New Roman"/>
                <w:lang w:eastAsia="en-GB"/>
              </w:rPr>
              <w:t>Analyse data to help understand progression against career plans and actual de</w:t>
            </w:r>
            <w:r w:rsidR="00B52392" w:rsidRPr="00834DC6">
              <w:rPr>
                <w:rFonts w:ascii="Calibri" w:eastAsia="Times New Roman" w:hAnsi="Calibri" w:cs="Times New Roman"/>
                <w:lang w:eastAsia="en-GB"/>
              </w:rPr>
              <w:t>stinations.</w:t>
            </w:r>
          </w:p>
          <w:p w:rsidR="007B74A8" w:rsidRDefault="007B74A8" w:rsidP="007B74A8">
            <w:pPr>
              <w:pBdr>
                <w:top w:val="nil"/>
                <w:left w:val="nil"/>
                <w:bottom w:val="nil"/>
                <w:right w:val="nil"/>
                <w:between w:val="nil"/>
              </w:pBdr>
              <w:contextualSpacing/>
              <w:rPr>
                <w:color w:val="808080" w:themeColor="background1" w:themeShade="80"/>
                <w:sz w:val="20"/>
                <w:szCs w:val="20"/>
              </w:rPr>
            </w:pPr>
            <w:r w:rsidRPr="00B65D86">
              <w:rPr>
                <w:color w:val="808080" w:themeColor="background1" w:themeShade="80"/>
                <w:sz w:val="20"/>
                <w:szCs w:val="20"/>
              </w:rPr>
              <w:t xml:space="preserve">Gatsby Benchmark </w:t>
            </w:r>
            <w:r>
              <w:rPr>
                <w:color w:val="808080" w:themeColor="background1" w:themeShade="80"/>
                <w:sz w:val="20"/>
                <w:szCs w:val="20"/>
              </w:rPr>
              <w:t>–</w:t>
            </w:r>
            <w:r w:rsidRPr="00B65D86">
              <w:rPr>
                <w:color w:val="808080" w:themeColor="background1" w:themeShade="80"/>
                <w:sz w:val="20"/>
                <w:szCs w:val="20"/>
              </w:rPr>
              <w:t xml:space="preserve"> </w:t>
            </w:r>
            <w:r>
              <w:rPr>
                <w:color w:val="808080" w:themeColor="background1" w:themeShade="80"/>
                <w:sz w:val="20"/>
                <w:szCs w:val="20"/>
              </w:rPr>
              <w:t>1</w:t>
            </w:r>
          </w:p>
          <w:p w:rsidR="007B74A8" w:rsidRDefault="007B74A8" w:rsidP="007B74A8">
            <w:pPr>
              <w:pBdr>
                <w:top w:val="nil"/>
                <w:left w:val="nil"/>
                <w:bottom w:val="nil"/>
                <w:right w:val="nil"/>
                <w:between w:val="nil"/>
              </w:pBdr>
              <w:contextualSpacing/>
              <w:rPr>
                <w:color w:val="808080" w:themeColor="background1" w:themeShade="80"/>
                <w:sz w:val="20"/>
                <w:szCs w:val="20"/>
              </w:rPr>
            </w:pPr>
          </w:p>
          <w:p w:rsidR="007B74A8" w:rsidRPr="00A55C31" w:rsidRDefault="007B74A8" w:rsidP="007B74A8">
            <w:pPr>
              <w:pBdr>
                <w:top w:val="nil"/>
                <w:left w:val="nil"/>
                <w:bottom w:val="nil"/>
                <w:right w:val="nil"/>
                <w:between w:val="nil"/>
              </w:pBdr>
              <w:contextualSpacing/>
              <w:rPr>
                <w:color w:val="FF0000"/>
              </w:rPr>
            </w:pPr>
          </w:p>
        </w:tc>
      </w:tr>
      <w:tr w:rsidR="007B74A8" w:rsidTr="00465733">
        <w:trPr>
          <w:trHeight w:val="437"/>
        </w:trPr>
        <w:tc>
          <w:tcPr>
            <w:tcW w:w="10206" w:type="dxa"/>
            <w:gridSpan w:val="5"/>
            <w:tcBorders>
              <w:left w:val="single" w:sz="4" w:space="0" w:color="auto"/>
              <w:right w:val="single" w:sz="4" w:space="0" w:color="auto"/>
            </w:tcBorders>
          </w:tcPr>
          <w:p w:rsidR="007B74A8" w:rsidRDefault="007B74A8" w:rsidP="007B74A8">
            <w:pPr>
              <w:jc w:val="center"/>
              <w:rPr>
                <w:b/>
              </w:rPr>
            </w:pPr>
          </w:p>
          <w:p w:rsidR="007B74A8" w:rsidRPr="00E241F4" w:rsidRDefault="007B74A8" w:rsidP="007B74A8">
            <w:pPr>
              <w:jc w:val="center"/>
              <w:rPr>
                <w:b/>
              </w:rPr>
            </w:pPr>
            <w:r w:rsidRPr="00D372AB">
              <w:rPr>
                <w:b/>
              </w:rPr>
              <w:t>Employ</w:t>
            </w:r>
            <w:r w:rsidR="00B52392">
              <w:rPr>
                <w:b/>
              </w:rPr>
              <w:t>er Engagement and</w:t>
            </w:r>
            <w:r>
              <w:rPr>
                <w:b/>
              </w:rPr>
              <w:t xml:space="preserve"> Partnership Work</w:t>
            </w:r>
          </w:p>
        </w:tc>
      </w:tr>
      <w:tr w:rsidR="007B74A8" w:rsidTr="006A583A">
        <w:trPr>
          <w:trHeight w:val="1060"/>
        </w:trPr>
        <w:tc>
          <w:tcPr>
            <w:tcW w:w="5103" w:type="dxa"/>
            <w:gridSpan w:val="3"/>
            <w:vMerge w:val="restart"/>
          </w:tcPr>
          <w:p w:rsidR="007B74A8" w:rsidRDefault="007B74A8" w:rsidP="007B74A8">
            <w:r>
              <w:t xml:space="preserve">Progression events and </w:t>
            </w:r>
            <w:r w:rsidRPr="00A2153B">
              <w:t>employer talks</w:t>
            </w:r>
            <w:r>
              <w:t xml:space="preserve"> are brokered for each academic year to bring employers</w:t>
            </w:r>
            <w:r w:rsidR="00B52392">
              <w:t>, industry specialists, HE and a</w:t>
            </w:r>
            <w:r>
              <w:t>pprenticeship providers into college to engage with and add to student and staff knowledge.</w:t>
            </w:r>
          </w:p>
          <w:p w:rsidR="00B52392" w:rsidRDefault="00B52392" w:rsidP="007B74A8"/>
          <w:p w:rsidR="007B74A8" w:rsidRDefault="00B52392" w:rsidP="007B74A8">
            <w:r>
              <w:t>HE and apprenticeship e</w:t>
            </w:r>
            <w:r w:rsidR="007B74A8">
              <w:t>xternal p</w:t>
            </w:r>
            <w:r>
              <w:t>roviders/specialists attend HE fairs, progression e</w:t>
            </w:r>
            <w:r w:rsidR="007B74A8">
              <w:t>vents; deliver workshops to students, as wel</w:t>
            </w:r>
            <w:r>
              <w:t>l as staff training i.e. higher level apprenticeships, student finance a</w:t>
            </w:r>
            <w:r w:rsidR="007B74A8">
              <w:t>nd UCAS.</w:t>
            </w:r>
          </w:p>
          <w:p w:rsidR="00B52392" w:rsidRDefault="00B52392" w:rsidP="007B74A8"/>
          <w:p w:rsidR="007B74A8" w:rsidRDefault="00B52392" w:rsidP="007B74A8">
            <w:r>
              <w:t>Students visit university open days, applicant d</w:t>
            </w:r>
            <w:r w:rsidR="007B74A8">
              <w:t xml:space="preserve">ays </w:t>
            </w:r>
          </w:p>
          <w:p w:rsidR="007B74A8" w:rsidRDefault="007B74A8" w:rsidP="007B74A8">
            <w:r>
              <w:t>National Careers Service delivery advice to 19+ students including Adult &amp; Community and HE.</w:t>
            </w:r>
          </w:p>
          <w:p w:rsidR="00B52392" w:rsidRDefault="00B52392" w:rsidP="007B74A8"/>
          <w:p w:rsidR="007B74A8" w:rsidRDefault="007B74A8" w:rsidP="007B74A8">
            <w:r>
              <w:t>Ahead Partnerships deliver employability and sector specific projects to a range of curriculum schools</w:t>
            </w:r>
            <w:r w:rsidR="00B52392">
              <w:t>.</w:t>
            </w:r>
          </w:p>
          <w:p w:rsidR="00B52392" w:rsidRDefault="00B52392" w:rsidP="007B74A8"/>
          <w:p w:rsidR="007B74A8" w:rsidRDefault="007B74A8" w:rsidP="007B74A8">
            <w:r>
              <w:t>Curriculum schools invite employers into college to talk to their students and develop relationships. The centralised Careers, Work Experience and Progression team broker employ</w:t>
            </w:r>
            <w:r w:rsidR="00B52392">
              <w:t>er and partnership engagement with</w:t>
            </w:r>
            <w:r>
              <w:t xml:space="preserve"> progression and enrichment activities.</w:t>
            </w:r>
          </w:p>
          <w:p w:rsidR="007B74A8" w:rsidRDefault="007B74A8" w:rsidP="007B74A8">
            <w:r>
              <w:t>The NC</w:t>
            </w:r>
            <w:r w:rsidR="00B52392">
              <w:t>OP p</w:t>
            </w:r>
            <w:r>
              <w:t>rogramme has enhanced the college offer considerably, providing opportunities and challenges for student</w:t>
            </w:r>
            <w:r w:rsidR="00B52392">
              <w:t>s</w:t>
            </w:r>
            <w:r>
              <w:t xml:space="preserve"> to address barriers that may prevent them from considering HE progression.</w:t>
            </w:r>
          </w:p>
          <w:p w:rsidR="007B74A8" w:rsidRDefault="007B74A8" w:rsidP="007B74A8"/>
          <w:p w:rsidR="007B74A8" w:rsidRPr="00120B91" w:rsidRDefault="007B74A8" w:rsidP="007B74A8">
            <w:r w:rsidRPr="00120B91">
              <w:t xml:space="preserve">Participating in enrichment activities allows students to gain skills that helps them progress. </w:t>
            </w:r>
            <w:r>
              <w:t xml:space="preserve">These include volunteering opportunities in local communities. </w:t>
            </w:r>
            <w:r w:rsidRPr="00120B91">
              <w:t>A central activities and enrichment team supports students to engage and understand the transferable skills gained as well as offering opportunities to gain additional qualifications and experience.</w:t>
            </w:r>
          </w:p>
          <w:p w:rsidR="007B74A8" w:rsidRDefault="007B74A8" w:rsidP="007B74A8"/>
        </w:tc>
        <w:tc>
          <w:tcPr>
            <w:tcW w:w="284" w:type="dxa"/>
            <w:vMerge w:val="restart"/>
            <w:tcBorders>
              <w:bottom w:val="nil"/>
            </w:tcBorders>
          </w:tcPr>
          <w:p w:rsidR="007B74A8" w:rsidRDefault="007B74A8" w:rsidP="007B74A8"/>
        </w:tc>
        <w:tc>
          <w:tcPr>
            <w:tcW w:w="4819" w:type="dxa"/>
          </w:tcPr>
          <w:p w:rsidR="007B74A8" w:rsidRDefault="007B74A8" w:rsidP="007B74A8">
            <w:r>
              <w:t>Broker sector based progression events to promote internal progression, apprenticeships, HE and employment</w:t>
            </w:r>
            <w:r w:rsidR="00B52392">
              <w:t>.</w:t>
            </w:r>
          </w:p>
          <w:p w:rsidR="007B74A8" w:rsidRDefault="007B74A8" w:rsidP="007B74A8">
            <w:pPr>
              <w:pBdr>
                <w:top w:val="nil"/>
                <w:left w:val="nil"/>
                <w:bottom w:val="nil"/>
                <w:right w:val="nil"/>
                <w:between w:val="nil"/>
              </w:pBdr>
              <w:contextualSpacing/>
            </w:pPr>
            <w:r w:rsidRPr="00B65D86">
              <w:rPr>
                <w:color w:val="808080" w:themeColor="background1" w:themeShade="80"/>
                <w:sz w:val="20"/>
                <w:szCs w:val="20"/>
              </w:rPr>
              <w:t xml:space="preserve">Gatsby Benchmark </w:t>
            </w:r>
            <w:r>
              <w:rPr>
                <w:color w:val="808080" w:themeColor="background1" w:themeShade="80"/>
                <w:sz w:val="20"/>
                <w:szCs w:val="20"/>
              </w:rPr>
              <w:t>–</w:t>
            </w:r>
            <w:r w:rsidRPr="00B65D86">
              <w:rPr>
                <w:color w:val="808080" w:themeColor="background1" w:themeShade="80"/>
                <w:sz w:val="20"/>
                <w:szCs w:val="20"/>
              </w:rPr>
              <w:t xml:space="preserve"> </w:t>
            </w:r>
            <w:r>
              <w:rPr>
                <w:color w:val="808080" w:themeColor="background1" w:themeShade="80"/>
                <w:sz w:val="20"/>
                <w:szCs w:val="20"/>
              </w:rPr>
              <w:t>5,7</w:t>
            </w:r>
          </w:p>
        </w:tc>
      </w:tr>
      <w:tr w:rsidR="007B74A8" w:rsidTr="006A583A">
        <w:tc>
          <w:tcPr>
            <w:tcW w:w="5103" w:type="dxa"/>
            <w:gridSpan w:val="3"/>
            <w:vMerge/>
          </w:tcPr>
          <w:p w:rsidR="007B74A8" w:rsidRDefault="007B74A8" w:rsidP="007B74A8">
            <w:pPr>
              <w:pBdr>
                <w:top w:val="nil"/>
                <w:left w:val="nil"/>
                <w:bottom w:val="nil"/>
                <w:right w:val="nil"/>
                <w:between w:val="nil"/>
              </w:pBdr>
              <w:contextualSpacing/>
            </w:pPr>
          </w:p>
        </w:tc>
        <w:tc>
          <w:tcPr>
            <w:tcW w:w="284" w:type="dxa"/>
            <w:vMerge/>
            <w:tcBorders>
              <w:bottom w:val="nil"/>
            </w:tcBorders>
          </w:tcPr>
          <w:p w:rsidR="007B74A8" w:rsidRDefault="007B74A8" w:rsidP="007B74A8">
            <w:pPr>
              <w:pBdr>
                <w:top w:val="nil"/>
                <w:left w:val="nil"/>
                <w:bottom w:val="nil"/>
                <w:right w:val="nil"/>
                <w:between w:val="nil"/>
              </w:pBdr>
              <w:contextualSpacing/>
            </w:pPr>
          </w:p>
        </w:tc>
        <w:tc>
          <w:tcPr>
            <w:tcW w:w="4819" w:type="dxa"/>
          </w:tcPr>
          <w:p w:rsidR="007B74A8" w:rsidRDefault="007B74A8" w:rsidP="007B74A8">
            <w:pPr>
              <w:pBdr>
                <w:top w:val="nil"/>
                <w:left w:val="nil"/>
                <w:bottom w:val="nil"/>
                <w:right w:val="nil"/>
                <w:between w:val="nil"/>
              </w:pBdr>
              <w:contextualSpacing/>
            </w:pPr>
            <w:r>
              <w:t>Prepare employers to deliver to students and debrief employers to enhance good practice</w:t>
            </w:r>
            <w:r w:rsidR="00B52392">
              <w:t>.</w:t>
            </w:r>
          </w:p>
          <w:p w:rsidR="007B74A8" w:rsidRDefault="007B74A8" w:rsidP="007B74A8">
            <w:pPr>
              <w:pBdr>
                <w:top w:val="nil"/>
                <w:left w:val="nil"/>
                <w:bottom w:val="nil"/>
                <w:right w:val="nil"/>
                <w:between w:val="nil"/>
              </w:pBdr>
              <w:contextualSpacing/>
            </w:pPr>
            <w:r w:rsidRPr="00B65D86">
              <w:rPr>
                <w:color w:val="808080" w:themeColor="background1" w:themeShade="80"/>
                <w:sz w:val="20"/>
                <w:szCs w:val="20"/>
              </w:rPr>
              <w:t xml:space="preserve">Gatsby Benchmark </w:t>
            </w:r>
            <w:r>
              <w:rPr>
                <w:color w:val="808080" w:themeColor="background1" w:themeShade="80"/>
                <w:sz w:val="20"/>
                <w:szCs w:val="20"/>
              </w:rPr>
              <w:t>–</w:t>
            </w:r>
            <w:r w:rsidRPr="00B65D86">
              <w:rPr>
                <w:color w:val="808080" w:themeColor="background1" w:themeShade="80"/>
                <w:sz w:val="20"/>
                <w:szCs w:val="20"/>
              </w:rPr>
              <w:t xml:space="preserve"> </w:t>
            </w:r>
            <w:r>
              <w:rPr>
                <w:color w:val="808080" w:themeColor="background1" w:themeShade="80"/>
                <w:sz w:val="20"/>
                <w:szCs w:val="20"/>
              </w:rPr>
              <w:t>5</w:t>
            </w:r>
          </w:p>
        </w:tc>
      </w:tr>
      <w:tr w:rsidR="007B74A8" w:rsidTr="006A583A">
        <w:tc>
          <w:tcPr>
            <w:tcW w:w="5103" w:type="dxa"/>
            <w:gridSpan w:val="3"/>
            <w:vMerge/>
          </w:tcPr>
          <w:p w:rsidR="007B74A8" w:rsidRDefault="007B74A8" w:rsidP="007B74A8"/>
        </w:tc>
        <w:tc>
          <w:tcPr>
            <w:tcW w:w="284" w:type="dxa"/>
            <w:vMerge/>
            <w:tcBorders>
              <w:bottom w:val="nil"/>
            </w:tcBorders>
          </w:tcPr>
          <w:p w:rsidR="007B74A8" w:rsidRDefault="007B74A8" w:rsidP="007B74A8"/>
        </w:tc>
        <w:tc>
          <w:tcPr>
            <w:tcW w:w="4819" w:type="dxa"/>
          </w:tcPr>
          <w:p w:rsidR="007B74A8" w:rsidRDefault="007B74A8" w:rsidP="007B74A8">
            <w:r>
              <w:t>Build capacity through delivery partnerships to enhance the breadth of the programme</w:t>
            </w:r>
            <w:r w:rsidR="00B52392">
              <w:t>.</w:t>
            </w:r>
          </w:p>
          <w:p w:rsidR="007B74A8" w:rsidRDefault="007B74A8" w:rsidP="007B74A8">
            <w:r w:rsidRPr="00B65D86">
              <w:rPr>
                <w:color w:val="808080" w:themeColor="background1" w:themeShade="80"/>
                <w:sz w:val="20"/>
                <w:szCs w:val="20"/>
              </w:rPr>
              <w:t xml:space="preserve">Gatsby Benchmark </w:t>
            </w:r>
            <w:r>
              <w:rPr>
                <w:color w:val="808080" w:themeColor="background1" w:themeShade="80"/>
                <w:sz w:val="20"/>
                <w:szCs w:val="20"/>
              </w:rPr>
              <w:t>–</w:t>
            </w:r>
            <w:r w:rsidRPr="00B65D86">
              <w:rPr>
                <w:color w:val="808080" w:themeColor="background1" w:themeShade="80"/>
                <w:sz w:val="20"/>
                <w:szCs w:val="20"/>
              </w:rPr>
              <w:t xml:space="preserve"> </w:t>
            </w:r>
            <w:r>
              <w:rPr>
                <w:color w:val="808080" w:themeColor="background1" w:themeShade="80"/>
                <w:sz w:val="20"/>
                <w:szCs w:val="20"/>
              </w:rPr>
              <w:t>5,7</w:t>
            </w:r>
          </w:p>
        </w:tc>
      </w:tr>
      <w:tr w:rsidR="007B74A8" w:rsidTr="006A583A">
        <w:tc>
          <w:tcPr>
            <w:tcW w:w="5103" w:type="dxa"/>
            <w:gridSpan w:val="3"/>
            <w:vMerge/>
          </w:tcPr>
          <w:p w:rsidR="007B74A8" w:rsidRDefault="007B74A8" w:rsidP="007B74A8">
            <w:pPr>
              <w:pBdr>
                <w:top w:val="nil"/>
                <w:left w:val="nil"/>
                <w:bottom w:val="nil"/>
                <w:right w:val="nil"/>
                <w:between w:val="nil"/>
              </w:pBdr>
              <w:contextualSpacing/>
            </w:pPr>
          </w:p>
        </w:tc>
        <w:tc>
          <w:tcPr>
            <w:tcW w:w="284" w:type="dxa"/>
            <w:vMerge/>
            <w:tcBorders>
              <w:bottom w:val="nil"/>
            </w:tcBorders>
          </w:tcPr>
          <w:p w:rsidR="007B74A8" w:rsidRDefault="007B74A8" w:rsidP="007B74A8">
            <w:pPr>
              <w:pBdr>
                <w:top w:val="nil"/>
                <w:left w:val="nil"/>
                <w:bottom w:val="nil"/>
                <w:right w:val="nil"/>
                <w:between w:val="nil"/>
              </w:pBdr>
              <w:contextualSpacing/>
            </w:pPr>
          </w:p>
        </w:tc>
        <w:tc>
          <w:tcPr>
            <w:tcW w:w="4819" w:type="dxa"/>
            <w:tcBorders>
              <w:bottom w:val="single" w:sz="4" w:space="0" w:color="auto"/>
            </w:tcBorders>
          </w:tcPr>
          <w:p w:rsidR="007B74A8" w:rsidRDefault="00B52392" w:rsidP="007B74A8">
            <w:pPr>
              <w:pBdr>
                <w:top w:val="nil"/>
                <w:left w:val="nil"/>
                <w:bottom w:val="nil"/>
                <w:right w:val="nil"/>
                <w:between w:val="nil"/>
              </w:pBdr>
              <w:contextualSpacing/>
            </w:pPr>
            <w:r>
              <w:t>Re-engage with the C</w:t>
            </w:r>
            <w:r w:rsidR="007B74A8">
              <w:t xml:space="preserve">areers and Enterprise Company - linking to </w:t>
            </w:r>
            <w:r>
              <w:t>the new enterprise coordinator and i</w:t>
            </w:r>
            <w:r w:rsidR="007B74A8">
              <w:t>dentify the support they can provide and start planning activity accordingly</w:t>
            </w:r>
            <w:r>
              <w:t>.</w:t>
            </w:r>
            <w:r w:rsidR="007B74A8">
              <w:t xml:space="preserve"> </w:t>
            </w:r>
          </w:p>
          <w:p w:rsidR="007B74A8" w:rsidRDefault="007B74A8" w:rsidP="007B74A8">
            <w:pPr>
              <w:pBdr>
                <w:top w:val="nil"/>
                <w:left w:val="nil"/>
                <w:bottom w:val="nil"/>
                <w:right w:val="nil"/>
                <w:between w:val="nil"/>
              </w:pBdr>
              <w:contextualSpacing/>
            </w:pPr>
            <w:r w:rsidRPr="00B65D86">
              <w:rPr>
                <w:color w:val="808080" w:themeColor="background1" w:themeShade="80"/>
                <w:sz w:val="20"/>
                <w:szCs w:val="20"/>
              </w:rPr>
              <w:t xml:space="preserve">Gatsby Benchmark </w:t>
            </w:r>
            <w:r>
              <w:rPr>
                <w:color w:val="808080" w:themeColor="background1" w:themeShade="80"/>
                <w:sz w:val="20"/>
                <w:szCs w:val="20"/>
              </w:rPr>
              <w:t>–</w:t>
            </w:r>
            <w:r w:rsidRPr="00B65D86">
              <w:rPr>
                <w:color w:val="808080" w:themeColor="background1" w:themeShade="80"/>
                <w:sz w:val="20"/>
                <w:szCs w:val="20"/>
              </w:rPr>
              <w:t xml:space="preserve"> </w:t>
            </w:r>
            <w:r>
              <w:rPr>
                <w:color w:val="808080" w:themeColor="background1" w:themeShade="80"/>
                <w:sz w:val="20"/>
                <w:szCs w:val="20"/>
              </w:rPr>
              <w:t>3,5</w:t>
            </w:r>
          </w:p>
        </w:tc>
      </w:tr>
      <w:tr w:rsidR="007B74A8" w:rsidTr="00465733">
        <w:tc>
          <w:tcPr>
            <w:tcW w:w="5103" w:type="dxa"/>
            <w:gridSpan w:val="3"/>
            <w:vMerge/>
            <w:tcBorders>
              <w:bottom w:val="single" w:sz="4" w:space="0" w:color="auto"/>
            </w:tcBorders>
          </w:tcPr>
          <w:p w:rsidR="007B74A8" w:rsidRDefault="007B74A8" w:rsidP="007B74A8">
            <w:pPr>
              <w:pBdr>
                <w:top w:val="nil"/>
                <w:left w:val="nil"/>
                <w:bottom w:val="nil"/>
                <w:right w:val="nil"/>
                <w:between w:val="nil"/>
              </w:pBdr>
              <w:contextualSpacing/>
            </w:pPr>
          </w:p>
        </w:tc>
        <w:tc>
          <w:tcPr>
            <w:tcW w:w="284" w:type="dxa"/>
            <w:vMerge/>
            <w:tcBorders>
              <w:bottom w:val="single" w:sz="4" w:space="0" w:color="auto"/>
            </w:tcBorders>
          </w:tcPr>
          <w:p w:rsidR="007B74A8" w:rsidRDefault="007B74A8" w:rsidP="007B74A8">
            <w:pPr>
              <w:pBdr>
                <w:top w:val="nil"/>
                <w:left w:val="nil"/>
                <w:bottom w:val="nil"/>
                <w:right w:val="nil"/>
                <w:between w:val="nil"/>
              </w:pBdr>
              <w:contextualSpacing/>
            </w:pPr>
          </w:p>
        </w:tc>
        <w:tc>
          <w:tcPr>
            <w:tcW w:w="4819" w:type="dxa"/>
            <w:tcBorders>
              <w:bottom w:val="single" w:sz="4" w:space="0" w:color="auto"/>
            </w:tcBorders>
          </w:tcPr>
          <w:p w:rsidR="007B74A8" w:rsidRDefault="00B52392" w:rsidP="007B74A8">
            <w:pPr>
              <w:pBdr>
                <w:top w:val="nil"/>
                <w:left w:val="nil"/>
                <w:bottom w:val="nil"/>
                <w:right w:val="nil"/>
                <w:between w:val="nil"/>
              </w:pBdr>
              <w:contextualSpacing/>
            </w:pPr>
            <w:r>
              <w:t>The student l</w:t>
            </w:r>
            <w:r w:rsidR="007B74A8">
              <w:t>eaders</w:t>
            </w:r>
            <w:r>
              <w:t>’</w:t>
            </w:r>
            <w:r w:rsidR="007B74A8">
              <w:t xml:space="preserve"> programme is extende</w:t>
            </w:r>
            <w:r>
              <w:t xml:space="preserve">d to include careers champions </w:t>
            </w:r>
            <w:r w:rsidR="007B74A8">
              <w:t>and alumni to i</w:t>
            </w:r>
            <w:r>
              <w:t>nspire students in their career</w:t>
            </w:r>
            <w:r w:rsidR="007B74A8">
              <w:t xml:space="preserve"> choices and pathways</w:t>
            </w:r>
            <w:r>
              <w:t>.</w:t>
            </w:r>
          </w:p>
          <w:p w:rsidR="007B74A8" w:rsidRDefault="007B74A8" w:rsidP="007B74A8">
            <w:pPr>
              <w:rPr>
                <w:color w:val="808080" w:themeColor="background1" w:themeShade="80"/>
                <w:sz w:val="20"/>
                <w:szCs w:val="20"/>
              </w:rPr>
            </w:pPr>
            <w:r w:rsidRPr="00B65D86">
              <w:rPr>
                <w:color w:val="808080" w:themeColor="background1" w:themeShade="80"/>
                <w:sz w:val="20"/>
                <w:szCs w:val="20"/>
              </w:rPr>
              <w:t xml:space="preserve">Gatsby Benchmark </w:t>
            </w:r>
            <w:r>
              <w:rPr>
                <w:color w:val="808080" w:themeColor="background1" w:themeShade="80"/>
                <w:sz w:val="20"/>
                <w:szCs w:val="20"/>
              </w:rPr>
              <w:t>–</w:t>
            </w:r>
            <w:r w:rsidRPr="00B65D86">
              <w:rPr>
                <w:color w:val="808080" w:themeColor="background1" w:themeShade="80"/>
                <w:sz w:val="20"/>
                <w:szCs w:val="20"/>
              </w:rPr>
              <w:t xml:space="preserve"> </w:t>
            </w:r>
            <w:r>
              <w:rPr>
                <w:color w:val="808080" w:themeColor="background1" w:themeShade="80"/>
                <w:sz w:val="20"/>
                <w:szCs w:val="20"/>
              </w:rPr>
              <w:t>3,7</w:t>
            </w:r>
          </w:p>
          <w:p w:rsidR="007B74A8" w:rsidRDefault="007B74A8" w:rsidP="007B74A8">
            <w:pPr>
              <w:rPr>
                <w:color w:val="808080" w:themeColor="background1" w:themeShade="80"/>
                <w:sz w:val="20"/>
                <w:szCs w:val="20"/>
              </w:rPr>
            </w:pPr>
          </w:p>
          <w:p w:rsidR="007B74A8" w:rsidRDefault="007B74A8" w:rsidP="007B74A8">
            <w:pPr>
              <w:rPr>
                <w:color w:val="808080" w:themeColor="background1" w:themeShade="80"/>
                <w:sz w:val="20"/>
                <w:szCs w:val="20"/>
              </w:rPr>
            </w:pPr>
          </w:p>
          <w:p w:rsidR="007B74A8" w:rsidRDefault="007B74A8" w:rsidP="007B74A8">
            <w:pPr>
              <w:rPr>
                <w:color w:val="808080" w:themeColor="background1" w:themeShade="80"/>
                <w:sz w:val="20"/>
                <w:szCs w:val="20"/>
              </w:rPr>
            </w:pPr>
          </w:p>
          <w:p w:rsidR="007B74A8" w:rsidRDefault="007B74A8" w:rsidP="007B74A8">
            <w:pPr>
              <w:rPr>
                <w:color w:val="808080" w:themeColor="background1" w:themeShade="80"/>
                <w:sz w:val="20"/>
                <w:szCs w:val="20"/>
              </w:rPr>
            </w:pPr>
          </w:p>
          <w:p w:rsidR="007B74A8" w:rsidRDefault="007B74A8" w:rsidP="007B74A8">
            <w:pPr>
              <w:rPr>
                <w:color w:val="808080" w:themeColor="background1" w:themeShade="80"/>
                <w:sz w:val="20"/>
                <w:szCs w:val="20"/>
              </w:rPr>
            </w:pPr>
          </w:p>
          <w:p w:rsidR="007B74A8" w:rsidRDefault="007B74A8" w:rsidP="007B74A8">
            <w:pPr>
              <w:rPr>
                <w:color w:val="808080" w:themeColor="background1" w:themeShade="80"/>
                <w:sz w:val="20"/>
                <w:szCs w:val="20"/>
              </w:rPr>
            </w:pPr>
          </w:p>
          <w:p w:rsidR="007B74A8" w:rsidRDefault="007B74A8" w:rsidP="007B74A8">
            <w:pPr>
              <w:rPr>
                <w:color w:val="808080" w:themeColor="background1" w:themeShade="80"/>
                <w:sz w:val="20"/>
                <w:szCs w:val="20"/>
              </w:rPr>
            </w:pPr>
          </w:p>
          <w:p w:rsidR="007B74A8" w:rsidRDefault="007B74A8" w:rsidP="007B74A8">
            <w:pPr>
              <w:rPr>
                <w:color w:val="808080" w:themeColor="background1" w:themeShade="80"/>
                <w:sz w:val="20"/>
                <w:szCs w:val="20"/>
              </w:rPr>
            </w:pPr>
          </w:p>
          <w:p w:rsidR="007B74A8" w:rsidRDefault="007B74A8" w:rsidP="007B74A8">
            <w:pPr>
              <w:rPr>
                <w:color w:val="808080" w:themeColor="background1" w:themeShade="80"/>
                <w:sz w:val="20"/>
                <w:szCs w:val="20"/>
              </w:rPr>
            </w:pPr>
          </w:p>
          <w:p w:rsidR="007B74A8" w:rsidRPr="00BE0234" w:rsidRDefault="007B74A8" w:rsidP="007B74A8"/>
        </w:tc>
      </w:tr>
      <w:tr w:rsidR="007B74A8" w:rsidTr="00465733">
        <w:tc>
          <w:tcPr>
            <w:tcW w:w="10206" w:type="dxa"/>
            <w:gridSpan w:val="5"/>
            <w:tcBorders>
              <w:top w:val="single" w:sz="4" w:space="0" w:color="auto"/>
              <w:left w:val="single" w:sz="4" w:space="0" w:color="auto"/>
              <w:right w:val="single" w:sz="4" w:space="0" w:color="auto"/>
            </w:tcBorders>
          </w:tcPr>
          <w:p w:rsidR="007B74A8" w:rsidRDefault="007B74A8" w:rsidP="007B74A8">
            <w:pPr>
              <w:jc w:val="center"/>
              <w:rPr>
                <w:b/>
              </w:rPr>
            </w:pPr>
          </w:p>
          <w:p w:rsidR="007B74A8" w:rsidRDefault="007B74A8" w:rsidP="007B74A8">
            <w:pPr>
              <w:jc w:val="center"/>
            </w:pPr>
            <w:r w:rsidRPr="00D372AB">
              <w:rPr>
                <w:b/>
              </w:rPr>
              <w:t>Monitoring</w:t>
            </w:r>
            <w:r>
              <w:rPr>
                <w:b/>
              </w:rPr>
              <w:t xml:space="preserve"> and Reporting</w:t>
            </w:r>
          </w:p>
        </w:tc>
      </w:tr>
      <w:tr w:rsidR="007B74A8" w:rsidTr="006A583A">
        <w:tc>
          <w:tcPr>
            <w:tcW w:w="5103" w:type="dxa"/>
            <w:gridSpan w:val="3"/>
            <w:vMerge w:val="restart"/>
          </w:tcPr>
          <w:p w:rsidR="007B74A8" w:rsidRDefault="007B74A8" w:rsidP="007B74A8">
            <w:r>
              <w:t>All interventions and activities are recorded and tracked on ProMonitor.</w:t>
            </w:r>
          </w:p>
          <w:p w:rsidR="007B74A8" w:rsidRDefault="007B74A8" w:rsidP="007B74A8"/>
          <w:p w:rsidR="007B74A8" w:rsidRDefault="007B74A8" w:rsidP="007B74A8">
            <w:r>
              <w:t xml:space="preserve">The programme is reviewed through action planning and </w:t>
            </w:r>
            <w:r w:rsidR="00B52392">
              <w:t>through the Performance Review p</w:t>
            </w:r>
            <w:r>
              <w:t>rocess.</w:t>
            </w:r>
          </w:p>
          <w:p w:rsidR="007B74A8" w:rsidRDefault="007B74A8" w:rsidP="007B74A8"/>
          <w:p w:rsidR="007B74A8" w:rsidRDefault="007B74A8" w:rsidP="007B74A8">
            <w:r>
              <w:t xml:space="preserve">Student enrichment activities are </w:t>
            </w:r>
            <w:r w:rsidRPr="00120B91">
              <w:t>recorded on their ILP to enable tracking of student progress throughout the year</w:t>
            </w:r>
            <w:r>
              <w:t>.</w:t>
            </w:r>
          </w:p>
          <w:p w:rsidR="007B74A8" w:rsidRDefault="007B74A8" w:rsidP="007B74A8"/>
          <w:p w:rsidR="007B74A8" w:rsidRDefault="007B74A8" w:rsidP="007B74A8">
            <w:r>
              <w:t>Matrix Quality Standard was awarded in 2017 in</w:t>
            </w:r>
            <w:r w:rsidR="00B52392">
              <w:t xml:space="preserve"> recognition of the quality of i</w:t>
            </w:r>
            <w:r>
              <w:t>nformation</w:t>
            </w:r>
            <w:r w:rsidR="00B52392">
              <w:t>,</w:t>
            </w:r>
            <w:r>
              <w:t xml:space="preserve"> advice and guidance. </w:t>
            </w:r>
          </w:p>
          <w:p w:rsidR="007B74A8" w:rsidRDefault="007B74A8" w:rsidP="007B74A8"/>
          <w:p w:rsidR="00834DC6" w:rsidRPr="00834DC6" w:rsidRDefault="00834DC6" w:rsidP="00834DC6">
            <w:pPr>
              <w:rPr>
                <w:lang w:eastAsia="en-GB"/>
              </w:rPr>
            </w:pPr>
            <w:r w:rsidRPr="00834DC6">
              <w:rPr>
                <w:lang w:eastAsia="en-GB"/>
              </w:rPr>
              <w:t xml:space="preserve">All student voice activity is recorded to ensure that it can be used to bring positive changes in college. </w:t>
            </w:r>
          </w:p>
          <w:p w:rsidR="00834DC6" w:rsidRPr="00834DC6" w:rsidRDefault="00834DC6" w:rsidP="00834DC6">
            <w:pPr>
              <w:rPr>
                <w:lang w:eastAsia="en-GB"/>
              </w:rPr>
            </w:pPr>
          </w:p>
          <w:p w:rsidR="00834DC6" w:rsidRPr="00834DC6" w:rsidRDefault="00834DC6" w:rsidP="00834DC6">
            <w:pPr>
              <w:rPr>
                <w:rFonts w:ascii="Times New Roman" w:hAnsi="Times New Roman"/>
                <w:sz w:val="24"/>
                <w:szCs w:val="24"/>
                <w:lang w:eastAsia="en-GB"/>
              </w:rPr>
            </w:pPr>
            <w:r w:rsidRPr="00834DC6">
              <w:rPr>
                <w:lang w:eastAsia="en-GB"/>
              </w:rPr>
              <w:t xml:space="preserve">Student survey results are recorded in QDP which allows the college to determine where its strengths are and areas for improvement as well as tracking progress both termly and annually. </w:t>
            </w:r>
          </w:p>
          <w:p w:rsidR="00834DC6" w:rsidRPr="00834DC6" w:rsidRDefault="00834DC6" w:rsidP="00834DC6">
            <w:pPr>
              <w:rPr>
                <w:rFonts w:ascii="Times New Roman" w:hAnsi="Times New Roman"/>
                <w:sz w:val="24"/>
                <w:szCs w:val="24"/>
                <w:lang w:eastAsia="en-GB"/>
              </w:rPr>
            </w:pPr>
          </w:p>
          <w:p w:rsidR="00834DC6" w:rsidRPr="00834DC6" w:rsidRDefault="00834DC6" w:rsidP="00834DC6">
            <w:pPr>
              <w:rPr>
                <w:lang w:eastAsia="en-GB"/>
              </w:rPr>
            </w:pPr>
            <w:r w:rsidRPr="00834DC6">
              <w:rPr>
                <w:lang w:eastAsia="en-GB"/>
              </w:rPr>
              <w:t xml:space="preserve">SU course representatives are elected and meet with heads of department, campus managers and directors to discuss feedback and create actions. </w:t>
            </w:r>
          </w:p>
          <w:p w:rsidR="00834DC6" w:rsidRPr="00834DC6" w:rsidRDefault="00834DC6" w:rsidP="00834DC6">
            <w:pPr>
              <w:rPr>
                <w:lang w:eastAsia="en-GB"/>
              </w:rPr>
            </w:pPr>
          </w:p>
          <w:p w:rsidR="007B74A8" w:rsidRPr="00834DC6" w:rsidRDefault="00834DC6" w:rsidP="00834DC6">
            <w:r w:rsidRPr="00834DC6">
              <w:rPr>
                <w:lang w:eastAsia="en-GB"/>
              </w:rPr>
              <w:t>All actions are tracked and updated through Google Sheets and are available to all students through the LCCSU website.</w:t>
            </w:r>
          </w:p>
          <w:p w:rsidR="007B74A8" w:rsidRDefault="007B74A8" w:rsidP="007B74A8"/>
          <w:p w:rsidR="007B74A8" w:rsidRDefault="007B74A8" w:rsidP="007B74A8"/>
          <w:p w:rsidR="007B74A8" w:rsidRDefault="007B74A8" w:rsidP="007B74A8"/>
          <w:p w:rsidR="007B74A8" w:rsidRDefault="007B74A8" w:rsidP="007B74A8"/>
          <w:p w:rsidR="007B74A8" w:rsidRDefault="007B74A8" w:rsidP="007B74A8">
            <w:pPr>
              <w:rPr>
                <w:color w:val="FF0000"/>
              </w:rPr>
            </w:pPr>
          </w:p>
          <w:p w:rsidR="007B74A8" w:rsidRDefault="007B74A8" w:rsidP="007B74A8">
            <w:pPr>
              <w:rPr>
                <w:color w:val="FF0000"/>
              </w:rPr>
            </w:pPr>
          </w:p>
          <w:p w:rsidR="007B74A8" w:rsidRDefault="007B74A8" w:rsidP="007B74A8"/>
        </w:tc>
        <w:tc>
          <w:tcPr>
            <w:tcW w:w="284" w:type="dxa"/>
            <w:vMerge w:val="restart"/>
            <w:tcBorders>
              <w:top w:val="single" w:sz="4" w:space="0" w:color="auto"/>
              <w:bottom w:val="nil"/>
            </w:tcBorders>
          </w:tcPr>
          <w:p w:rsidR="007B74A8" w:rsidRDefault="007B74A8" w:rsidP="007B74A8"/>
        </w:tc>
        <w:tc>
          <w:tcPr>
            <w:tcW w:w="4819" w:type="dxa"/>
          </w:tcPr>
          <w:p w:rsidR="007B74A8" w:rsidRDefault="007B74A8" w:rsidP="007B74A8">
            <w:r>
              <w:t>Review the work experience and career plan (with LMI included) as part of Business Planning with each school/department. To be monitored and the quality measured throughout each academic year</w:t>
            </w:r>
            <w:r w:rsidR="004139BD">
              <w:t>.</w:t>
            </w:r>
            <w:r>
              <w:t xml:space="preserve">    </w:t>
            </w:r>
          </w:p>
          <w:p w:rsidR="007B74A8" w:rsidRDefault="007B74A8" w:rsidP="007B74A8">
            <w:r w:rsidRPr="00B65D86">
              <w:rPr>
                <w:color w:val="808080" w:themeColor="background1" w:themeShade="80"/>
                <w:sz w:val="20"/>
                <w:szCs w:val="20"/>
              </w:rPr>
              <w:t xml:space="preserve">Gatsby Benchmark </w:t>
            </w:r>
            <w:r>
              <w:rPr>
                <w:color w:val="808080" w:themeColor="background1" w:themeShade="80"/>
                <w:sz w:val="20"/>
                <w:szCs w:val="20"/>
              </w:rPr>
              <w:t>–</w:t>
            </w:r>
            <w:r w:rsidRPr="00B65D86">
              <w:rPr>
                <w:color w:val="808080" w:themeColor="background1" w:themeShade="80"/>
                <w:sz w:val="20"/>
                <w:szCs w:val="20"/>
              </w:rPr>
              <w:t xml:space="preserve"> </w:t>
            </w:r>
            <w:r>
              <w:rPr>
                <w:color w:val="808080" w:themeColor="background1" w:themeShade="80"/>
                <w:sz w:val="20"/>
                <w:szCs w:val="20"/>
              </w:rPr>
              <w:t>1,2,6</w:t>
            </w:r>
          </w:p>
        </w:tc>
      </w:tr>
      <w:tr w:rsidR="007B74A8" w:rsidTr="006A583A">
        <w:tc>
          <w:tcPr>
            <w:tcW w:w="5103" w:type="dxa"/>
            <w:gridSpan w:val="3"/>
            <w:vMerge/>
          </w:tcPr>
          <w:p w:rsidR="007B74A8" w:rsidRDefault="007B74A8" w:rsidP="007B74A8">
            <w:pPr>
              <w:pBdr>
                <w:top w:val="nil"/>
                <w:left w:val="nil"/>
                <w:bottom w:val="nil"/>
                <w:right w:val="nil"/>
                <w:between w:val="nil"/>
              </w:pBdr>
              <w:contextualSpacing/>
            </w:pPr>
          </w:p>
        </w:tc>
        <w:tc>
          <w:tcPr>
            <w:tcW w:w="284" w:type="dxa"/>
            <w:vMerge/>
            <w:tcBorders>
              <w:bottom w:val="nil"/>
            </w:tcBorders>
          </w:tcPr>
          <w:p w:rsidR="007B74A8" w:rsidRDefault="007B74A8" w:rsidP="007B74A8">
            <w:pPr>
              <w:pBdr>
                <w:top w:val="nil"/>
                <w:left w:val="nil"/>
                <w:bottom w:val="nil"/>
                <w:right w:val="nil"/>
                <w:between w:val="nil"/>
              </w:pBdr>
              <w:contextualSpacing/>
            </w:pPr>
          </w:p>
        </w:tc>
        <w:tc>
          <w:tcPr>
            <w:tcW w:w="4819" w:type="dxa"/>
          </w:tcPr>
          <w:p w:rsidR="007B74A8" w:rsidRDefault="007B74A8" w:rsidP="007B74A8">
            <w:pPr>
              <w:pBdr>
                <w:top w:val="nil"/>
                <w:left w:val="nil"/>
                <w:bottom w:val="nil"/>
                <w:right w:val="nil"/>
                <w:between w:val="nil"/>
              </w:pBdr>
              <w:contextualSpacing/>
            </w:pPr>
            <w:r>
              <w:t>Work experience evidence/reflection log to measure progress of steps towards career goals.</w:t>
            </w:r>
          </w:p>
          <w:p w:rsidR="007B74A8" w:rsidRPr="00C04BEC" w:rsidRDefault="007B74A8" w:rsidP="007B74A8">
            <w:pPr>
              <w:pBdr>
                <w:top w:val="nil"/>
                <w:left w:val="nil"/>
                <w:bottom w:val="nil"/>
                <w:right w:val="nil"/>
                <w:between w:val="nil"/>
              </w:pBdr>
              <w:contextualSpacing/>
              <w:rPr>
                <w:b/>
              </w:rPr>
            </w:pPr>
            <w:r w:rsidRPr="00B65D86">
              <w:rPr>
                <w:color w:val="808080" w:themeColor="background1" w:themeShade="80"/>
                <w:sz w:val="20"/>
                <w:szCs w:val="20"/>
              </w:rPr>
              <w:t xml:space="preserve">Gatsby Benchmark </w:t>
            </w:r>
            <w:r>
              <w:rPr>
                <w:color w:val="808080" w:themeColor="background1" w:themeShade="80"/>
                <w:sz w:val="20"/>
                <w:szCs w:val="20"/>
              </w:rPr>
              <w:t>–</w:t>
            </w:r>
            <w:r w:rsidRPr="00B65D86">
              <w:rPr>
                <w:color w:val="808080" w:themeColor="background1" w:themeShade="80"/>
                <w:sz w:val="20"/>
                <w:szCs w:val="20"/>
              </w:rPr>
              <w:t xml:space="preserve"> </w:t>
            </w:r>
            <w:r>
              <w:rPr>
                <w:color w:val="808080" w:themeColor="background1" w:themeShade="80"/>
                <w:sz w:val="20"/>
                <w:szCs w:val="20"/>
              </w:rPr>
              <w:t>3,6</w:t>
            </w:r>
          </w:p>
        </w:tc>
      </w:tr>
      <w:tr w:rsidR="007B74A8" w:rsidTr="006A583A">
        <w:tc>
          <w:tcPr>
            <w:tcW w:w="5103" w:type="dxa"/>
            <w:gridSpan w:val="3"/>
            <w:vMerge/>
          </w:tcPr>
          <w:p w:rsidR="007B74A8" w:rsidRDefault="007B74A8" w:rsidP="007B74A8">
            <w:pPr>
              <w:pBdr>
                <w:top w:val="nil"/>
                <w:left w:val="nil"/>
                <w:bottom w:val="nil"/>
                <w:right w:val="nil"/>
                <w:between w:val="nil"/>
              </w:pBdr>
              <w:contextualSpacing/>
            </w:pPr>
          </w:p>
        </w:tc>
        <w:tc>
          <w:tcPr>
            <w:tcW w:w="284" w:type="dxa"/>
            <w:vMerge/>
            <w:tcBorders>
              <w:bottom w:val="nil"/>
            </w:tcBorders>
          </w:tcPr>
          <w:p w:rsidR="007B74A8" w:rsidRDefault="007B74A8" w:rsidP="007B74A8">
            <w:pPr>
              <w:pBdr>
                <w:top w:val="nil"/>
                <w:left w:val="nil"/>
                <w:bottom w:val="nil"/>
                <w:right w:val="nil"/>
                <w:between w:val="nil"/>
              </w:pBdr>
              <w:contextualSpacing/>
            </w:pPr>
          </w:p>
        </w:tc>
        <w:tc>
          <w:tcPr>
            <w:tcW w:w="4819" w:type="dxa"/>
          </w:tcPr>
          <w:p w:rsidR="007B74A8" w:rsidRDefault="007B74A8" w:rsidP="007B74A8">
            <w:pPr>
              <w:pBdr>
                <w:top w:val="nil"/>
                <w:left w:val="nil"/>
                <w:bottom w:val="nil"/>
                <w:right w:val="nil"/>
                <w:between w:val="nil"/>
              </w:pBdr>
              <w:contextualSpacing/>
            </w:pPr>
            <w:r>
              <w:t>Monitor and track enrichment activities so all career link</w:t>
            </w:r>
            <w:r w:rsidR="004139BD">
              <w:t>s,</w:t>
            </w:r>
            <w:r>
              <w:t xml:space="preserve"> progression activities and skills have been captured on ProMonitor. ProMonitor is the single place for centrally recording activity to demonstrate that the study programme is fully delivered.</w:t>
            </w:r>
          </w:p>
          <w:p w:rsidR="002A2C5E" w:rsidRDefault="002A2C5E" w:rsidP="007B74A8">
            <w:pPr>
              <w:pBdr>
                <w:top w:val="nil"/>
                <w:left w:val="nil"/>
                <w:bottom w:val="nil"/>
                <w:right w:val="nil"/>
                <w:between w:val="nil"/>
              </w:pBdr>
              <w:contextualSpacing/>
            </w:pPr>
            <w:r>
              <w:t>Monitor &amp; track all student voice actions.</w:t>
            </w:r>
          </w:p>
          <w:p w:rsidR="002A2C5E" w:rsidRDefault="002A2C5E" w:rsidP="007B74A8">
            <w:pPr>
              <w:pBdr>
                <w:top w:val="nil"/>
                <w:left w:val="nil"/>
                <w:bottom w:val="nil"/>
                <w:right w:val="nil"/>
                <w:between w:val="nil"/>
              </w:pBdr>
              <w:contextualSpacing/>
            </w:pPr>
            <w:r>
              <w:t>Measure progress of departments in reaching 90% completion rate for surveys.</w:t>
            </w:r>
          </w:p>
          <w:p w:rsidR="007B74A8" w:rsidRDefault="007B74A8" w:rsidP="007B74A8">
            <w:pPr>
              <w:pBdr>
                <w:top w:val="nil"/>
                <w:left w:val="nil"/>
                <w:bottom w:val="nil"/>
                <w:right w:val="nil"/>
                <w:between w:val="nil"/>
              </w:pBdr>
              <w:contextualSpacing/>
            </w:pPr>
            <w:r w:rsidRPr="00B65D86">
              <w:rPr>
                <w:color w:val="808080" w:themeColor="background1" w:themeShade="80"/>
                <w:sz w:val="20"/>
                <w:szCs w:val="20"/>
              </w:rPr>
              <w:t xml:space="preserve">Gatsby Benchmark </w:t>
            </w:r>
            <w:r>
              <w:rPr>
                <w:color w:val="808080" w:themeColor="background1" w:themeShade="80"/>
                <w:sz w:val="20"/>
                <w:szCs w:val="20"/>
              </w:rPr>
              <w:t>–</w:t>
            </w:r>
            <w:r w:rsidRPr="00B65D86">
              <w:rPr>
                <w:color w:val="808080" w:themeColor="background1" w:themeShade="80"/>
                <w:sz w:val="20"/>
                <w:szCs w:val="20"/>
              </w:rPr>
              <w:t xml:space="preserve"> </w:t>
            </w:r>
            <w:r>
              <w:rPr>
                <w:color w:val="808080" w:themeColor="background1" w:themeShade="80"/>
                <w:sz w:val="20"/>
                <w:szCs w:val="20"/>
              </w:rPr>
              <w:t>3</w:t>
            </w:r>
          </w:p>
        </w:tc>
      </w:tr>
      <w:tr w:rsidR="007B74A8" w:rsidTr="006A583A">
        <w:tc>
          <w:tcPr>
            <w:tcW w:w="5103" w:type="dxa"/>
            <w:gridSpan w:val="3"/>
            <w:vMerge/>
          </w:tcPr>
          <w:p w:rsidR="007B74A8" w:rsidRDefault="007B74A8" w:rsidP="007B74A8">
            <w:pPr>
              <w:pBdr>
                <w:top w:val="nil"/>
                <w:left w:val="nil"/>
                <w:bottom w:val="nil"/>
                <w:right w:val="nil"/>
                <w:between w:val="nil"/>
              </w:pBdr>
              <w:contextualSpacing/>
            </w:pPr>
          </w:p>
        </w:tc>
        <w:tc>
          <w:tcPr>
            <w:tcW w:w="284" w:type="dxa"/>
            <w:vMerge/>
            <w:tcBorders>
              <w:bottom w:val="nil"/>
            </w:tcBorders>
          </w:tcPr>
          <w:p w:rsidR="007B74A8" w:rsidRDefault="007B74A8" w:rsidP="007B74A8">
            <w:pPr>
              <w:pBdr>
                <w:top w:val="nil"/>
                <w:left w:val="nil"/>
                <w:bottom w:val="nil"/>
                <w:right w:val="nil"/>
                <w:between w:val="nil"/>
              </w:pBdr>
              <w:contextualSpacing/>
            </w:pPr>
          </w:p>
        </w:tc>
        <w:tc>
          <w:tcPr>
            <w:tcW w:w="4819" w:type="dxa"/>
          </w:tcPr>
          <w:p w:rsidR="007B74A8" w:rsidRDefault="007B74A8" w:rsidP="007B74A8">
            <w:pPr>
              <w:pBdr>
                <w:top w:val="nil"/>
                <w:left w:val="nil"/>
                <w:bottom w:val="nil"/>
                <w:right w:val="nil"/>
                <w:between w:val="nil"/>
              </w:pBdr>
              <w:contextualSpacing/>
            </w:pPr>
            <w:r>
              <w:t>Monitor and report on the reach of the programme</w:t>
            </w:r>
            <w:r w:rsidR="004139BD">
              <w:t>.</w:t>
            </w:r>
          </w:p>
          <w:p w:rsidR="007B74A8" w:rsidRDefault="007B74A8" w:rsidP="007B74A8">
            <w:pPr>
              <w:pBdr>
                <w:top w:val="nil"/>
                <w:left w:val="nil"/>
                <w:bottom w:val="nil"/>
                <w:right w:val="nil"/>
                <w:between w:val="nil"/>
              </w:pBdr>
              <w:contextualSpacing/>
            </w:pPr>
            <w:r w:rsidRPr="00B65D86">
              <w:rPr>
                <w:color w:val="808080" w:themeColor="background1" w:themeShade="80"/>
                <w:sz w:val="20"/>
                <w:szCs w:val="20"/>
              </w:rPr>
              <w:t xml:space="preserve">Gatsby Benchmark </w:t>
            </w:r>
            <w:r>
              <w:rPr>
                <w:color w:val="808080" w:themeColor="background1" w:themeShade="80"/>
                <w:sz w:val="20"/>
                <w:szCs w:val="20"/>
              </w:rPr>
              <w:t>–</w:t>
            </w:r>
            <w:r w:rsidRPr="00B65D86">
              <w:rPr>
                <w:color w:val="808080" w:themeColor="background1" w:themeShade="80"/>
                <w:sz w:val="20"/>
                <w:szCs w:val="20"/>
              </w:rPr>
              <w:t xml:space="preserve"> </w:t>
            </w:r>
            <w:r>
              <w:rPr>
                <w:color w:val="808080" w:themeColor="background1" w:themeShade="80"/>
                <w:sz w:val="20"/>
                <w:szCs w:val="20"/>
              </w:rPr>
              <w:t>1</w:t>
            </w:r>
          </w:p>
        </w:tc>
      </w:tr>
      <w:tr w:rsidR="007B74A8" w:rsidTr="00BE0234">
        <w:tc>
          <w:tcPr>
            <w:tcW w:w="5103" w:type="dxa"/>
            <w:gridSpan w:val="3"/>
            <w:vMerge/>
          </w:tcPr>
          <w:p w:rsidR="007B74A8" w:rsidRDefault="007B74A8" w:rsidP="007B74A8">
            <w:pPr>
              <w:pBdr>
                <w:top w:val="nil"/>
                <w:left w:val="nil"/>
                <w:bottom w:val="nil"/>
                <w:right w:val="nil"/>
                <w:between w:val="nil"/>
              </w:pBdr>
              <w:contextualSpacing/>
            </w:pPr>
          </w:p>
        </w:tc>
        <w:tc>
          <w:tcPr>
            <w:tcW w:w="284" w:type="dxa"/>
            <w:vMerge/>
            <w:tcBorders>
              <w:bottom w:val="nil"/>
            </w:tcBorders>
          </w:tcPr>
          <w:p w:rsidR="007B74A8" w:rsidRDefault="007B74A8" w:rsidP="007B74A8">
            <w:pPr>
              <w:pBdr>
                <w:top w:val="nil"/>
                <w:left w:val="nil"/>
                <w:bottom w:val="nil"/>
                <w:right w:val="nil"/>
                <w:between w:val="nil"/>
              </w:pBdr>
              <w:contextualSpacing/>
            </w:pPr>
          </w:p>
        </w:tc>
        <w:tc>
          <w:tcPr>
            <w:tcW w:w="4819" w:type="dxa"/>
          </w:tcPr>
          <w:p w:rsidR="007B74A8" w:rsidRDefault="007B74A8" w:rsidP="007B74A8">
            <w:pPr>
              <w:pBdr>
                <w:top w:val="nil"/>
                <w:left w:val="nil"/>
                <w:bottom w:val="nil"/>
                <w:right w:val="nil"/>
                <w:between w:val="nil"/>
              </w:pBdr>
              <w:contextualSpacing/>
            </w:pPr>
            <w:r>
              <w:t>Standard suite of reports established to monitor the quality and impact</w:t>
            </w:r>
            <w:r w:rsidR="004139BD">
              <w:t>.</w:t>
            </w:r>
            <w:r>
              <w:t xml:space="preserve"> </w:t>
            </w:r>
          </w:p>
          <w:p w:rsidR="007B74A8" w:rsidRDefault="007B74A8" w:rsidP="007B74A8">
            <w:pPr>
              <w:pBdr>
                <w:top w:val="nil"/>
                <w:left w:val="nil"/>
                <w:bottom w:val="nil"/>
                <w:right w:val="nil"/>
                <w:between w:val="nil"/>
              </w:pBdr>
              <w:contextualSpacing/>
            </w:pPr>
            <w:r w:rsidRPr="00B65D86">
              <w:rPr>
                <w:color w:val="808080" w:themeColor="background1" w:themeShade="80"/>
                <w:sz w:val="20"/>
                <w:szCs w:val="20"/>
              </w:rPr>
              <w:t xml:space="preserve">Gatsby Benchmark </w:t>
            </w:r>
            <w:r>
              <w:rPr>
                <w:color w:val="808080" w:themeColor="background1" w:themeShade="80"/>
                <w:sz w:val="20"/>
                <w:szCs w:val="20"/>
              </w:rPr>
              <w:t>–</w:t>
            </w:r>
            <w:r w:rsidRPr="00B65D86">
              <w:rPr>
                <w:color w:val="808080" w:themeColor="background1" w:themeShade="80"/>
                <w:sz w:val="20"/>
                <w:szCs w:val="20"/>
              </w:rPr>
              <w:t xml:space="preserve"> </w:t>
            </w:r>
            <w:r>
              <w:rPr>
                <w:color w:val="808080" w:themeColor="background1" w:themeShade="80"/>
                <w:sz w:val="20"/>
                <w:szCs w:val="20"/>
              </w:rPr>
              <w:t>1</w:t>
            </w:r>
          </w:p>
        </w:tc>
      </w:tr>
      <w:tr w:rsidR="007B74A8" w:rsidTr="00BE0234">
        <w:tc>
          <w:tcPr>
            <w:tcW w:w="5103" w:type="dxa"/>
            <w:gridSpan w:val="3"/>
            <w:vMerge/>
          </w:tcPr>
          <w:p w:rsidR="007B74A8" w:rsidRDefault="007B74A8" w:rsidP="007B74A8">
            <w:pPr>
              <w:pBdr>
                <w:top w:val="nil"/>
                <w:left w:val="nil"/>
                <w:bottom w:val="nil"/>
                <w:right w:val="nil"/>
                <w:between w:val="nil"/>
              </w:pBdr>
              <w:contextualSpacing/>
            </w:pPr>
          </w:p>
        </w:tc>
        <w:tc>
          <w:tcPr>
            <w:tcW w:w="284" w:type="dxa"/>
            <w:tcBorders>
              <w:top w:val="nil"/>
              <w:bottom w:val="nil"/>
            </w:tcBorders>
          </w:tcPr>
          <w:p w:rsidR="007B74A8" w:rsidRDefault="007B74A8" w:rsidP="007B74A8">
            <w:pPr>
              <w:pBdr>
                <w:top w:val="nil"/>
                <w:left w:val="nil"/>
                <w:bottom w:val="nil"/>
                <w:right w:val="nil"/>
                <w:between w:val="nil"/>
              </w:pBdr>
              <w:contextualSpacing/>
            </w:pPr>
          </w:p>
        </w:tc>
        <w:tc>
          <w:tcPr>
            <w:tcW w:w="4819" w:type="dxa"/>
          </w:tcPr>
          <w:p w:rsidR="007B74A8" w:rsidRDefault="007B74A8" w:rsidP="007B74A8">
            <w:pPr>
              <w:pBdr>
                <w:top w:val="nil"/>
                <w:left w:val="nil"/>
                <w:bottom w:val="nil"/>
                <w:right w:val="nil"/>
                <w:between w:val="nil"/>
              </w:pBdr>
              <w:contextualSpacing/>
            </w:pPr>
          </w:p>
        </w:tc>
      </w:tr>
    </w:tbl>
    <w:p w:rsidR="002A2C5E" w:rsidRDefault="002A2C5E" w:rsidP="00BE0234">
      <w:bookmarkStart w:id="0" w:name="_GoBack"/>
      <w:bookmarkEnd w:id="0"/>
    </w:p>
    <w:sectPr w:rsidR="002A2C5E" w:rsidSect="0039315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28B" w:rsidRDefault="0001628B" w:rsidP="004455B1">
      <w:pPr>
        <w:spacing w:after="0" w:line="240" w:lineRule="auto"/>
      </w:pPr>
      <w:r>
        <w:separator/>
      </w:r>
    </w:p>
  </w:endnote>
  <w:endnote w:type="continuationSeparator" w:id="0">
    <w:p w:rsidR="0001628B" w:rsidRDefault="0001628B" w:rsidP="00445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832693"/>
      <w:docPartObj>
        <w:docPartGallery w:val="Page Numbers (Bottom of Page)"/>
        <w:docPartUnique/>
      </w:docPartObj>
    </w:sdtPr>
    <w:sdtEndPr>
      <w:rPr>
        <w:noProof/>
      </w:rPr>
    </w:sdtEndPr>
    <w:sdtContent>
      <w:p w:rsidR="0001628B" w:rsidRDefault="0001628B">
        <w:pPr>
          <w:pStyle w:val="Footer"/>
          <w:jc w:val="right"/>
        </w:pPr>
        <w:r>
          <w:fldChar w:fldCharType="begin"/>
        </w:r>
        <w:r>
          <w:instrText xml:space="preserve"> PAGE   \* MERGEFORMAT </w:instrText>
        </w:r>
        <w:r>
          <w:fldChar w:fldCharType="separate"/>
        </w:r>
        <w:r w:rsidR="002A0313">
          <w:rPr>
            <w:noProof/>
          </w:rPr>
          <w:t>8</w:t>
        </w:r>
        <w:r>
          <w:rPr>
            <w:noProof/>
          </w:rPr>
          <w:fldChar w:fldCharType="end"/>
        </w:r>
      </w:p>
    </w:sdtContent>
  </w:sdt>
  <w:p w:rsidR="0001628B" w:rsidRDefault="00016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28B" w:rsidRDefault="0001628B" w:rsidP="004455B1">
      <w:pPr>
        <w:spacing w:after="0" w:line="240" w:lineRule="auto"/>
      </w:pPr>
      <w:r>
        <w:separator/>
      </w:r>
    </w:p>
  </w:footnote>
  <w:footnote w:type="continuationSeparator" w:id="0">
    <w:p w:rsidR="0001628B" w:rsidRDefault="0001628B" w:rsidP="004455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2A9"/>
    <w:multiLevelType w:val="hybridMultilevel"/>
    <w:tmpl w:val="86803E90"/>
    <w:lvl w:ilvl="0" w:tplc="A60CCE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17DA7"/>
    <w:multiLevelType w:val="hybridMultilevel"/>
    <w:tmpl w:val="756A0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70708"/>
    <w:multiLevelType w:val="multilevel"/>
    <w:tmpl w:val="017E8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A55391"/>
    <w:multiLevelType w:val="hybridMultilevel"/>
    <w:tmpl w:val="3F3EC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A878EA"/>
    <w:multiLevelType w:val="hybridMultilevel"/>
    <w:tmpl w:val="37763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90F3D"/>
    <w:multiLevelType w:val="multilevel"/>
    <w:tmpl w:val="9580D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160C88"/>
    <w:multiLevelType w:val="hybridMultilevel"/>
    <w:tmpl w:val="756A0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706C50"/>
    <w:multiLevelType w:val="hybridMultilevel"/>
    <w:tmpl w:val="756A0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1332B3"/>
    <w:multiLevelType w:val="multilevel"/>
    <w:tmpl w:val="7C08C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5533EA"/>
    <w:multiLevelType w:val="multilevel"/>
    <w:tmpl w:val="A3AC7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854134"/>
    <w:multiLevelType w:val="hybridMultilevel"/>
    <w:tmpl w:val="5C00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B6A28"/>
    <w:multiLevelType w:val="hybridMultilevel"/>
    <w:tmpl w:val="C3C29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234701"/>
    <w:multiLevelType w:val="multilevel"/>
    <w:tmpl w:val="57829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EAD59E8"/>
    <w:multiLevelType w:val="multilevel"/>
    <w:tmpl w:val="9580D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30C17A3"/>
    <w:multiLevelType w:val="multilevel"/>
    <w:tmpl w:val="F6583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53446F3"/>
    <w:multiLevelType w:val="multilevel"/>
    <w:tmpl w:val="51548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B672017"/>
    <w:multiLevelType w:val="hybridMultilevel"/>
    <w:tmpl w:val="797CF0A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3CAF5660"/>
    <w:multiLevelType w:val="hybridMultilevel"/>
    <w:tmpl w:val="756A0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6E5359"/>
    <w:multiLevelType w:val="multilevel"/>
    <w:tmpl w:val="73E8F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DCF71F9"/>
    <w:multiLevelType w:val="multilevel"/>
    <w:tmpl w:val="6CB4A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2074BC0"/>
    <w:multiLevelType w:val="hybridMultilevel"/>
    <w:tmpl w:val="756A0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BB73F6"/>
    <w:multiLevelType w:val="multilevel"/>
    <w:tmpl w:val="F4805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7F713CD"/>
    <w:multiLevelType w:val="hybridMultilevel"/>
    <w:tmpl w:val="D6C28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EF59C7"/>
    <w:multiLevelType w:val="hybridMultilevel"/>
    <w:tmpl w:val="00AA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CD7DF7"/>
    <w:multiLevelType w:val="multilevel"/>
    <w:tmpl w:val="9E166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1097C19"/>
    <w:multiLevelType w:val="multilevel"/>
    <w:tmpl w:val="27CE5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10A36DC"/>
    <w:multiLevelType w:val="multilevel"/>
    <w:tmpl w:val="BFF24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1D04D51"/>
    <w:multiLevelType w:val="multilevel"/>
    <w:tmpl w:val="DB5AA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5C359A6"/>
    <w:multiLevelType w:val="multilevel"/>
    <w:tmpl w:val="DA00B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B326336"/>
    <w:multiLevelType w:val="hybridMultilevel"/>
    <w:tmpl w:val="756A0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055E2A"/>
    <w:multiLevelType w:val="multilevel"/>
    <w:tmpl w:val="7ABAA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E775818"/>
    <w:multiLevelType w:val="hybridMultilevel"/>
    <w:tmpl w:val="756A0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7C0DC8"/>
    <w:multiLevelType w:val="multilevel"/>
    <w:tmpl w:val="E59C4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1E015DB"/>
    <w:multiLevelType w:val="hybridMultilevel"/>
    <w:tmpl w:val="756A0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F11F7A"/>
    <w:multiLevelType w:val="hybridMultilevel"/>
    <w:tmpl w:val="A73C4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082574"/>
    <w:multiLevelType w:val="multilevel"/>
    <w:tmpl w:val="047A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329636A"/>
    <w:multiLevelType w:val="multilevel"/>
    <w:tmpl w:val="6E785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3CB255F"/>
    <w:multiLevelType w:val="hybridMultilevel"/>
    <w:tmpl w:val="756A0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CF4F0A"/>
    <w:multiLevelType w:val="hybridMultilevel"/>
    <w:tmpl w:val="E5B28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3418B6"/>
    <w:multiLevelType w:val="multilevel"/>
    <w:tmpl w:val="4A029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F5E3C43"/>
    <w:multiLevelType w:val="multilevel"/>
    <w:tmpl w:val="2B4C8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6207F74"/>
    <w:multiLevelType w:val="multilevel"/>
    <w:tmpl w:val="C7A82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E9A3B48"/>
    <w:multiLevelType w:val="hybridMultilevel"/>
    <w:tmpl w:val="756A0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8"/>
  </w:num>
  <w:num w:numId="3">
    <w:abstractNumId w:val="35"/>
  </w:num>
  <w:num w:numId="4">
    <w:abstractNumId w:val="36"/>
  </w:num>
  <w:num w:numId="5">
    <w:abstractNumId w:val="20"/>
  </w:num>
  <w:num w:numId="6">
    <w:abstractNumId w:val="22"/>
  </w:num>
  <w:num w:numId="7">
    <w:abstractNumId w:val="26"/>
  </w:num>
  <w:num w:numId="8">
    <w:abstractNumId w:val="12"/>
  </w:num>
  <w:num w:numId="9">
    <w:abstractNumId w:val="28"/>
  </w:num>
  <w:num w:numId="10">
    <w:abstractNumId w:val="21"/>
  </w:num>
  <w:num w:numId="11">
    <w:abstractNumId w:val="14"/>
  </w:num>
  <w:num w:numId="12">
    <w:abstractNumId w:val="2"/>
  </w:num>
  <w:num w:numId="13">
    <w:abstractNumId w:val="24"/>
  </w:num>
  <w:num w:numId="14">
    <w:abstractNumId w:val="30"/>
  </w:num>
  <w:num w:numId="15">
    <w:abstractNumId w:val="40"/>
  </w:num>
  <w:num w:numId="16">
    <w:abstractNumId w:val="41"/>
  </w:num>
  <w:num w:numId="17">
    <w:abstractNumId w:val="15"/>
  </w:num>
  <w:num w:numId="18">
    <w:abstractNumId w:val="27"/>
  </w:num>
  <w:num w:numId="19">
    <w:abstractNumId w:val="39"/>
  </w:num>
  <w:num w:numId="20">
    <w:abstractNumId w:val="19"/>
  </w:num>
  <w:num w:numId="21">
    <w:abstractNumId w:val="32"/>
  </w:num>
  <w:num w:numId="22">
    <w:abstractNumId w:val="9"/>
  </w:num>
  <w:num w:numId="23">
    <w:abstractNumId w:val="18"/>
  </w:num>
  <w:num w:numId="24">
    <w:abstractNumId w:val="38"/>
  </w:num>
  <w:num w:numId="25">
    <w:abstractNumId w:val="23"/>
  </w:num>
  <w:num w:numId="26">
    <w:abstractNumId w:val="0"/>
  </w:num>
  <w:num w:numId="27">
    <w:abstractNumId w:val="4"/>
  </w:num>
  <w:num w:numId="28">
    <w:abstractNumId w:val="34"/>
  </w:num>
  <w:num w:numId="29">
    <w:abstractNumId w:val="42"/>
  </w:num>
  <w:num w:numId="30">
    <w:abstractNumId w:val="17"/>
  </w:num>
  <w:num w:numId="31">
    <w:abstractNumId w:val="1"/>
  </w:num>
  <w:num w:numId="32">
    <w:abstractNumId w:val="10"/>
  </w:num>
  <w:num w:numId="33">
    <w:abstractNumId w:val="29"/>
  </w:num>
  <w:num w:numId="34">
    <w:abstractNumId w:val="33"/>
  </w:num>
  <w:num w:numId="35">
    <w:abstractNumId w:val="31"/>
  </w:num>
  <w:num w:numId="36">
    <w:abstractNumId w:val="6"/>
  </w:num>
  <w:num w:numId="37">
    <w:abstractNumId w:val="7"/>
  </w:num>
  <w:num w:numId="38">
    <w:abstractNumId w:val="11"/>
  </w:num>
  <w:num w:numId="39">
    <w:abstractNumId w:val="5"/>
  </w:num>
  <w:num w:numId="40">
    <w:abstractNumId w:val="37"/>
  </w:num>
  <w:num w:numId="41">
    <w:abstractNumId w:val="13"/>
  </w:num>
  <w:num w:numId="42">
    <w:abstractNumId w:val="16"/>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E49"/>
    <w:rsid w:val="00001E95"/>
    <w:rsid w:val="0001628B"/>
    <w:rsid w:val="000262E9"/>
    <w:rsid w:val="00055AF1"/>
    <w:rsid w:val="00061D0F"/>
    <w:rsid w:val="000D4E49"/>
    <w:rsid w:val="000D4F54"/>
    <w:rsid w:val="000E2B00"/>
    <w:rsid w:val="000F3510"/>
    <w:rsid w:val="0011280C"/>
    <w:rsid w:val="00115CEB"/>
    <w:rsid w:val="00120B91"/>
    <w:rsid w:val="0016029A"/>
    <w:rsid w:val="00177934"/>
    <w:rsid w:val="001D6308"/>
    <w:rsid w:val="00257EA6"/>
    <w:rsid w:val="002A0313"/>
    <w:rsid w:val="002A2C5E"/>
    <w:rsid w:val="0039315C"/>
    <w:rsid w:val="003B0623"/>
    <w:rsid w:val="003C6A83"/>
    <w:rsid w:val="003E0F86"/>
    <w:rsid w:val="004139BD"/>
    <w:rsid w:val="004204A6"/>
    <w:rsid w:val="00424A76"/>
    <w:rsid w:val="004455B1"/>
    <w:rsid w:val="00465733"/>
    <w:rsid w:val="004A2F63"/>
    <w:rsid w:val="004A3FC2"/>
    <w:rsid w:val="005158D5"/>
    <w:rsid w:val="005175B1"/>
    <w:rsid w:val="00547F18"/>
    <w:rsid w:val="006A583A"/>
    <w:rsid w:val="00702A07"/>
    <w:rsid w:val="00710795"/>
    <w:rsid w:val="007340D3"/>
    <w:rsid w:val="007472F5"/>
    <w:rsid w:val="0076319E"/>
    <w:rsid w:val="00780266"/>
    <w:rsid w:val="00786745"/>
    <w:rsid w:val="007B74A8"/>
    <w:rsid w:val="007E271C"/>
    <w:rsid w:val="007E6CF4"/>
    <w:rsid w:val="00801A20"/>
    <w:rsid w:val="008217EE"/>
    <w:rsid w:val="00832F38"/>
    <w:rsid w:val="00834DC6"/>
    <w:rsid w:val="00882025"/>
    <w:rsid w:val="008A1113"/>
    <w:rsid w:val="008B200C"/>
    <w:rsid w:val="008F601E"/>
    <w:rsid w:val="00916D61"/>
    <w:rsid w:val="00921585"/>
    <w:rsid w:val="009541EE"/>
    <w:rsid w:val="00985BF4"/>
    <w:rsid w:val="00986B90"/>
    <w:rsid w:val="009A195E"/>
    <w:rsid w:val="009A7988"/>
    <w:rsid w:val="009F2751"/>
    <w:rsid w:val="00A55C31"/>
    <w:rsid w:val="00A85983"/>
    <w:rsid w:val="00AE105E"/>
    <w:rsid w:val="00B52392"/>
    <w:rsid w:val="00B65D86"/>
    <w:rsid w:val="00B776A6"/>
    <w:rsid w:val="00B82076"/>
    <w:rsid w:val="00BC608A"/>
    <w:rsid w:val="00BE0234"/>
    <w:rsid w:val="00BE644B"/>
    <w:rsid w:val="00C04BEC"/>
    <w:rsid w:val="00C562BE"/>
    <w:rsid w:val="00C8512B"/>
    <w:rsid w:val="00CA245B"/>
    <w:rsid w:val="00CB6E9F"/>
    <w:rsid w:val="00CC47D7"/>
    <w:rsid w:val="00D0263D"/>
    <w:rsid w:val="00D372AB"/>
    <w:rsid w:val="00D57D8A"/>
    <w:rsid w:val="00DE5969"/>
    <w:rsid w:val="00E11449"/>
    <w:rsid w:val="00E241F4"/>
    <w:rsid w:val="00E308E1"/>
    <w:rsid w:val="00E35B4D"/>
    <w:rsid w:val="00E91823"/>
    <w:rsid w:val="00F55A19"/>
    <w:rsid w:val="00F85CB4"/>
    <w:rsid w:val="00FA6181"/>
    <w:rsid w:val="00FC45FB"/>
    <w:rsid w:val="00FD5C47"/>
    <w:rsid w:val="00FD6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24D6E0"/>
  <w15:chartTrackingRefBased/>
  <w15:docId w15:val="{EB839604-2501-40F8-AFF2-9DE1A4AD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113"/>
    <w:pPr>
      <w:ind w:left="720"/>
      <w:contextualSpacing/>
    </w:pPr>
  </w:style>
  <w:style w:type="table" w:styleId="TableGrid">
    <w:name w:val="Table Grid"/>
    <w:basedOn w:val="TableNormal"/>
    <w:uiPriority w:val="39"/>
    <w:rsid w:val="00801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55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5B1"/>
  </w:style>
  <w:style w:type="paragraph" w:styleId="Footer">
    <w:name w:val="footer"/>
    <w:basedOn w:val="Normal"/>
    <w:link w:val="FooterChar"/>
    <w:uiPriority w:val="99"/>
    <w:unhideWhenUsed/>
    <w:rsid w:val="004455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5B1"/>
  </w:style>
  <w:style w:type="paragraph" w:styleId="BalloonText">
    <w:name w:val="Balloon Text"/>
    <w:basedOn w:val="Normal"/>
    <w:link w:val="BalloonTextChar"/>
    <w:uiPriority w:val="99"/>
    <w:semiHidden/>
    <w:unhideWhenUsed/>
    <w:rsid w:val="00FC4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5FB"/>
    <w:rPr>
      <w:rFonts w:ascii="Segoe UI" w:hAnsi="Segoe UI" w:cs="Segoe UI"/>
      <w:sz w:val="18"/>
      <w:szCs w:val="18"/>
    </w:rPr>
  </w:style>
  <w:style w:type="character" w:styleId="Hyperlink">
    <w:name w:val="Hyperlink"/>
    <w:basedOn w:val="DefaultParagraphFont"/>
    <w:uiPriority w:val="99"/>
    <w:unhideWhenUsed/>
    <w:rsid w:val="00E308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6954">
      <w:bodyDiv w:val="1"/>
      <w:marLeft w:val="0"/>
      <w:marRight w:val="0"/>
      <w:marTop w:val="0"/>
      <w:marBottom w:val="0"/>
      <w:divBdr>
        <w:top w:val="none" w:sz="0" w:space="0" w:color="auto"/>
        <w:left w:val="none" w:sz="0" w:space="0" w:color="auto"/>
        <w:bottom w:val="none" w:sz="0" w:space="0" w:color="auto"/>
        <w:right w:val="none" w:sz="0" w:space="0" w:color="auto"/>
      </w:divBdr>
    </w:div>
    <w:div w:id="188516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areers-strategy-making-the-most-of-everyones-skills-and-tal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uploads/system/uploads/attachment_data/file/667690/Social_Mobility_Action_Plan_-_for_printing.pdf" TargetMode="External"/><Relationship Id="rId4" Type="http://schemas.openxmlformats.org/officeDocument/2006/relationships/settings" Target="settings.xml"/><Relationship Id="rId9" Type="http://schemas.openxmlformats.org/officeDocument/2006/relationships/hyperlink" Target="http://www.gatsby.org.uk/uploads/education/reports/pdf/gatsby-sir-john-holman-good-career-guidance-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2EFA0-BD88-4763-B747-A03324A8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2919</Words>
  <Characters>16640</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yates</dc:creator>
  <cp:keywords/>
  <dc:description/>
  <cp:lastModifiedBy>Harriet Pickering</cp:lastModifiedBy>
  <cp:revision>2</cp:revision>
  <cp:lastPrinted>2018-10-25T13:43:00Z</cp:lastPrinted>
  <dcterms:created xsi:type="dcterms:W3CDTF">2019-10-15T11:13:00Z</dcterms:created>
  <dcterms:modified xsi:type="dcterms:W3CDTF">2019-10-15T11:13:00Z</dcterms:modified>
</cp:coreProperties>
</file>