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14" w:rsidRPr="00A67C35" w:rsidRDefault="009B31B6" w:rsidP="00801814">
      <w:pPr>
        <w:pStyle w:val="Default"/>
        <w:rPr>
          <w:rFonts w:ascii="Arial" w:hAnsi="Arial" w:cs="Arial"/>
          <w:b/>
        </w:rPr>
      </w:pPr>
      <w:r w:rsidRPr="00A67C35">
        <w:rPr>
          <w:rFonts w:ascii="Arial" w:hAnsi="Arial" w:cs="Arial"/>
          <w:b/>
        </w:rPr>
        <w:t xml:space="preserve">Leeds City College </w:t>
      </w:r>
    </w:p>
    <w:p w:rsidR="009B31B6" w:rsidRPr="00A67C35" w:rsidRDefault="009B31B6" w:rsidP="00801814">
      <w:pPr>
        <w:pStyle w:val="Default"/>
        <w:rPr>
          <w:rFonts w:ascii="Arial" w:hAnsi="Arial" w:cs="Arial"/>
          <w:b/>
        </w:rPr>
      </w:pPr>
      <w:r w:rsidRPr="00A67C35">
        <w:rPr>
          <w:rFonts w:ascii="Arial" w:hAnsi="Arial" w:cs="Arial"/>
          <w:b/>
        </w:rPr>
        <w:t xml:space="preserve">Student Protection Plan </w:t>
      </w:r>
      <w:r w:rsidR="0051433A">
        <w:rPr>
          <w:rFonts w:ascii="Arial" w:hAnsi="Arial" w:cs="Arial"/>
          <w:b/>
        </w:rPr>
        <w:t>2019 20</w:t>
      </w:r>
    </w:p>
    <w:p w:rsidR="009B31B6" w:rsidRPr="00A67C35" w:rsidRDefault="009B31B6" w:rsidP="00801814">
      <w:pPr>
        <w:pStyle w:val="Default"/>
        <w:rPr>
          <w:rFonts w:ascii="Arial" w:hAnsi="Arial" w:cs="Arial"/>
          <w:b/>
        </w:rPr>
      </w:pPr>
      <w:r w:rsidRPr="00A67C35">
        <w:rPr>
          <w:rFonts w:ascii="Arial" w:hAnsi="Arial" w:cs="Arial"/>
          <w:b/>
        </w:rPr>
        <w:t>10024962</w:t>
      </w:r>
    </w:p>
    <w:p w:rsidR="009B31B6" w:rsidRPr="00A67C35" w:rsidRDefault="009B31B6" w:rsidP="00801814">
      <w:pPr>
        <w:pStyle w:val="Default"/>
        <w:rPr>
          <w:rFonts w:ascii="Arial" w:hAnsi="Arial" w:cs="Arial"/>
          <w:b/>
        </w:rPr>
      </w:pPr>
      <w:r w:rsidRPr="00A67C35">
        <w:rPr>
          <w:rFonts w:ascii="Arial" w:hAnsi="Arial" w:cs="Arial"/>
          <w:b/>
        </w:rPr>
        <w:t>University Centre</w:t>
      </w:r>
    </w:p>
    <w:p w:rsidR="009B31B6" w:rsidRPr="00A67C35" w:rsidRDefault="009B31B6" w:rsidP="00801814">
      <w:pPr>
        <w:pStyle w:val="Default"/>
        <w:rPr>
          <w:rFonts w:ascii="Arial" w:hAnsi="Arial" w:cs="Arial"/>
          <w:b/>
        </w:rPr>
      </w:pPr>
      <w:r w:rsidRPr="00A67C35">
        <w:rPr>
          <w:rFonts w:ascii="Arial" w:hAnsi="Arial" w:cs="Arial"/>
          <w:b/>
        </w:rPr>
        <w:t>Park Lane</w:t>
      </w:r>
    </w:p>
    <w:p w:rsidR="009B31B6" w:rsidRPr="00A67C35" w:rsidRDefault="009B31B6" w:rsidP="00801814">
      <w:pPr>
        <w:pStyle w:val="Default"/>
        <w:rPr>
          <w:rFonts w:ascii="Arial" w:hAnsi="Arial" w:cs="Arial"/>
          <w:b/>
        </w:rPr>
      </w:pPr>
      <w:r w:rsidRPr="00A67C35">
        <w:rPr>
          <w:rFonts w:ascii="Arial" w:hAnsi="Arial" w:cs="Arial"/>
          <w:b/>
        </w:rPr>
        <w:t>Leeds City College LS3 1AA</w:t>
      </w:r>
    </w:p>
    <w:p w:rsidR="009B31B6" w:rsidRPr="00A67C35" w:rsidRDefault="009B31B6" w:rsidP="00801814">
      <w:pPr>
        <w:pStyle w:val="Default"/>
        <w:rPr>
          <w:rFonts w:ascii="Arial" w:hAnsi="Arial" w:cs="Arial"/>
        </w:rPr>
      </w:pPr>
      <w:bookmarkStart w:id="0" w:name="_GoBack"/>
      <w:bookmarkEnd w:id="0"/>
    </w:p>
    <w:p w:rsidR="009B31B6" w:rsidRPr="00A67C35" w:rsidRDefault="009B31B6" w:rsidP="00801814">
      <w:pPr>
        <w:pStyle w:val="Default"/>
        <w:rPr>
          <w:rFonts w:ascii="Arial" w:hAnsi="Arial" w:cs="Arial"/>
        </w:rPr>
      </w:pPr>
      <w:r w:rsidRPr="00A67C35">
        <w:rPr>
          <w:rFonts w:ascii="Arial" w:hAnsi="Arial" w:cs="Arial"/>
        </w:rPr>
        <w:t xml:space="preserve">Contact: </w:t>
      </w:r>
      <w:r w:rsidR="00214BFA" w:rsidRPr="00A67C35">
        <w:rPr>
          <w:rFonts w:ascii="Arial" w:hAnsi="Arial" w:cs="Arial"/>
        </w:rPr>
        <w:t xml:space="preserve">- </w:t>
      </w:r>
      <w:r w:rsidR="00972B8A">
        <w:rPr>
          <w:rFonts w:ascii="Arial" w:hAnsi="Arial" w:cs="Arial"/>
        </w:rPr>
        <w:t>headmissions@leedscitycollege.ac.uk</w:t>
      </w:r>
    </w:p>
    <w:p w:rsidR="009B31B6" w:rsidRPr="00A67C35" w:rsidRDefault="009B31B6" w:rsidP="00801814">
      <w:pPr>
        <w:pStyle w:val="Default"/>
        <w:rPr>
          <w:rFonts w:ascii="Arial" w:hAnsi="Arial" w:cs="Arial"/>
        </w:rPr>
      </w:pPr>
    </w:p>
    <w:p w:rsidR="009B31B6" w:rsidRPr="00A67C35" w:rsidRDefault="009B31B6" w:rsidP="00801814">
      <w:pPr>
        <w:pStyle w:val="Default"/>
        <w:rPr>
          <w:rFonts w:ascii="Arial" w:hAnsi="Arial" w:cs="Arial"/>
        </w:rPr>
      </w:pPr>
    </w:p>
    <w:p w:rsidR="00801814" w:rsidRPr="00A67C35" w:rsidRDefault="00801814" w:rsidP="00801814">
      <w:pPr>
        <w:pStyle w:val="Default"/>
        <w:rPr>
          <w:rFonts w:ascii="Arial" w:hAnsi="Arial" w:cs="Arial"/>
          <w:b/>
          <w:bCs/>
          <w:sz w:val="22"/>
          <w:szCs w:val="22"/>
        </w:rPr>
      </w:pPr>
      <w:r w:rsidRPr="00A67C35">
        <w:rPr>
          <w:rFonts w:ascii="Arial" w:hAnsi="Arial" w:cs="Arial"/>
          <w:b/>
          <w:bCs/>
          <w:sz w:val="22"/>
          <w:szCs w:val="22"/>
        </w:rPr>
        <w:t xml:space="preserve">Introduction </w:t>
      </w:r>
    </w:p>
    <w:p w:rsidR="00701546" w:rsidRPr="00A67C35" w:rsidRDefault="00701546" w:rsidP="00801814">
      <w:pPr>
        <w:pStyle w:val="Default"/>
        <w:rPr>
          <w:rFonts w:ascii="Arial" w:hAnsi="Arial" w:cs="Arial"/>
          <w:sz w:val="22"/>
          <w:szCs w:val="22"/>
        </w:rPr>
      </w:pPr>
      <w:r w:rsidRPr="00A67C35">
        <w:rPr>
          <w:rFonts w:ascii="Arial" w:hAnsi="Arial" w:cs="Arial"/>
          <w:bCs/>
          <w:sz w:val="22"/>
          <w:szCs w:val="22"/>
        </w:rPr>
        <w:t xml:space="preserve">The </w:t>
      </w:r>
      <w:r w:rsidR="00857C0B" w:rsidRPr="00A67C35">
        <w:rPr>
          <w:rFonts w:ascii="Arial" w:hAnsi="Arial" w:cs="Arial"/>
          <w:bCs/>
          <w:sz w:val="22"/>
          <w:szCs w:val="22"/>
        </w:rPr>
        <w:t xml:space="preserve">Higher Education and Research Act 2017 requires </w:t>
      </w:r>
      <w:r w:rsidRPr="00A67C35">
        <w:rPr>
          <w:rFonts w:ascii="Arial" w:hAnsi="Arial" w:cs="Arial"/>
          <w:bCs/>
          <w:sz w:val="22"/>
          <w:szCs w:val="22"/>
        </w:rPr>
        <w:t xml:space="preserve">higher education providers to </w:t>
      </w:r>
      <w:r w:rsidR="00857C0B" w:rsidRPr="00A67C35">
        <w:rPr>
          <w:rFonts w:ascii="Arial" w:hAnsi="Arial" w:cs="Arial"/>
          <w:bCs/>
          <w:sz w:val="22"/>
          <w:szCs w:val="22"/>
        </w:rPr>
        <w:t xml:space="preserve">maintain and </w:t>
      </w:r>
      <w:r w:rsidRPr="00A67C35">
        <w:rPr>
          <w:rFonts w:ascii="Arial" w:hAnsi="Arial" w:cs="Arial"/>
          <w:bCs/>
          <w:sz w:val="22"/>
          <w:szCs w:val="22"/>
        </w:rPr>
        <w:t>publish a Student Protection Plan</w:t>
      </w:r>
      <w:r w:rsidR="00DC0D5A" w:rsidRPr="00A67C35">
        <w:rPr>
          <w:rFonts w:ascii="Arial" w:hAnsi="Arial" w:cs="Arial"/>
          <w:bCs/>
          <w:sz w:val="22"/>
          <w:szCs w:val="22"/>
        </w:rPr>
        <w:t xml:space="preserve"> (SPP)</w:t>
      </w:r>
      <w:r w:rsidRPr="00A67C35">
        <w:rPr>
          <w:rFonts w:ascii="Arial" w:hAnsi="Arial" w:cs="Arial"/>
          <w:bCs/>
          <w:sz w:val="22"/>
          <w:szCs w:val="22"/>
        </w:rPr>
        <w:t xml:space="preserve">.  This plan </w:t>
      </w:r>
      <w:r w:rsidR="00857C0B" w:rsidRPr="00A67C35">
        <w:rPr>
          <w:rFonts w:ascii="Arial" w:hAnsi="Arial" w:cs="Arial"/>
          <w:bCs/>
          <w:sz w:val="22"/>
          <w:szCs w:val="22"/>
        </w:rPr>
        <w:t xml:space="preserve">aims to protect students’ interests in the event of material changes such as programme closures or changes.  The plan sets out how the </w:t>
      </w:r>
      <w:r w:rsidR="00DC0D5A" w:rsidRPr="00A67C35">
        <w:rPr>
          <w:rFonts w:ascii="Arial" w:hAnsi="Arial" w:cs="Arial"/>
          <w:bCs/>
          <w:sz w:val="22"/>
          <w:szCs w:val="22"/>
        </w:rPr>
        <w:t>College will mitigate against potential risks to the quality and continuation of programmes.</w:t>
      </w:r>
    </w:p>
    <w:p w:rsidR="00857C0B" w:rsidRPr="00A67C35" w:rsidRDefault="00DC0D5A" w:rsidP="00801814">
      <w:pPr>
        <w:pStyle w:val="Default"/>
        <w:rPr>
          <w:rFonts w:ascii="Arial" w:hAnsi="Arial" w:cs="Arial"/>
          <w:sz w:val="22"/>
          <w:szCs w:val="22"/>
        </w:rPr>
      </w:pPr>
      <w:r w:rsidRPr="00A67C35">
        <w:rPr>
          <w:rFonts w:ascii="Arial" w:hAnsi="Arial" w:cs="Arial"/>
          <w:sz w:val="22"/>
          <w:szCs w:val="22"/>
        </w:rPr>
        <w:t>The College has successfully delivered higher education programmes for over 20 years and t</w:t>
      </w:r>
      <w:r w:rsidR="00801814" w:rsidRPr="00A67C35">
        <w:rPr>
          <w:rFonts w:ascii="Arial" w:hAnsi="Arial" w:cs="Arial"/>
          <w:sz w:val="22"/>
          <w:szCs w:val="22"/>
        </w:rPr>
        <w:t>h</w:t>
      </w:r>
      <w:r w:rsidRPr="00A67C35">
        <w:rPr>
          <w:rFonts w:ascii="Arial" w:hAnsi="Arial" w:cs="Arial"/>
          <w:sz w:val="22"/>
          <w:szCs w:val="22"/>
        </w:rPr>
        <w:t>e</w:t>
      </w:r>
      <w:r w:rsidR="00801814" w:rsidRPr="00A67C35">
        <w:rPr>
          <w:rFonts w:ascii="Arial" w:hAnsi="Arial" w:cs="Arial"/>
          <w:sz w:val="22"/>
          <w:szCs w:val="22"/>
        </w:rPr>
        <w:t xml:space="preserve"> </w:t>
      </w:r>
      <w:r w:rsidRPr="00A67C35">
        <w:rPr>
          <w:rFonts w:ascii="Arial" w:hAnsi="Arial" w:cs="Arial"/>
          <w:sz w:val="22"/>
          <w:szCs w:val="22"/>
        </w:rPr>
        <w:t>SPP</w:t>
      </w:r>
      <w:r w:rsidR="00801814" w:rsidRPr="00A67C35">
        <w:rPr>
          <w:rFonts w:ascii="Arial" w:hAnsi="Arial" w:cs="Arial"/>
          <w:sz w:val="22"/>
          <w:szCs w:val="22"/>
        </w:rPr>
        <w:t xml:space="preserve"> builds on </w:t>
      </w:r>
      <w:r w:rsidRPr="00A67C35">
        <w:rPr>
          <w:rFonts w:ascii="Arial" w:hAnsi="Arial" w:cs="Arial"/>
          <w:sz w:val="22"/>
          <w:szCs w:val="22"/>
        </w:rPr>
        <w:t>this</w:t>
      </w:r>
      <w:r w:rsidR="00801814" w:rsidRPr="00A67C35">
        <w:rPr>
          <w:rFonts w:ascii="Arial" w:hAnsi="Arial" w:cs="Arial"/>
          <w:sz w:val="22"/>
          <w:szCs w:val="22"/>
        </w:rPr>
        <w:t xml:space="preserve"> experience and is intended to assure current and future students </w:t>
      </w:r>
      <w:r w:rsidR="00857C0B" w:rsidRPr="00A67C35">
        <w:rPr>
          <w:rFonts w:ascii="Arial" w:hAnsi="Arial" w:cs="Arial"/>
          <w:sz w:val="22"/>
          <w:szCs w:val="22"/>
        </w:rPr>
        <w:t xml:space="preserve">of the quality and continuation of their programme. </w:t>
      </w:r>
    </w:p>
    <w:p w:rsidR="00857C0B" w:rsidRPr="00A67C35" w:rsidRDefault="00857C0B" w:rsidP="00801814">
      <w:pPr>
        <w:pStyle w:val="Default"/>
        <w:rPr>
          <w:rFonts w:ascii="Arial" w:hAnsi="Arial" w:cs="Arial"/>
          <w:sz w:val="22"/>
          <w:szCs w:val="22"/>
        </w:rPr>
      </w:pPr>
    </w:p>
    <w:p w:rsidR="00857C0B" w:rsidRPr="00A67C35" w:rsidRDefault="00857C0B" w:rsidP="00801814">
      <w:pPr>
        <w:pStyle w:val="Default"/>
        <w:rPr>
          <w:rFonts w:ascii="Arial" w:hAnsi="Arial" w:cs="Arial"/>
          <w:b/>
          <w:sz w:val="22"/>
          <w:szCs w:val="22"/>
        </w:rPr>
      </w:pPr>
      <w:r w:rsidRPr="00A67C35">
        <w:rPr>
          <w:rFonts w:ascii="Arial" w:hAnsi="Arial" w:cs="Arial"/>
          <w:b/>
          <w:sz w:val="22"/>
          <w:szCs w:val="22"/>
        </w:rPr>
        <w:t>Structure of the SPP</w:t>
      </w:r>
    </w:p>
    <w:p w:rsidR="00857C0B" w:rsidRPr="00A67C35" w:rsidRDefault="00857C0B" w:rsidP="00801814">
      <w:pPr>
        <w:pStyle w:val="Default"/>
        <w:rPr>
          <w:rFonts w:ascii="Arial" w:hAnsi="Arial" w:cs="Arial"/>
          <w:sz w:val="22"/>
          <w:szCs w:val="22"/>
        </w:rPr>
      </w:pPr>
    </w:p>
    <w:p w:rsidR="00801814" w:rsidRPr="00A67C35" w:rsidRDefault="00857C0B" w:rsidP="00801814">
      <w:pPr>
        <w:pStyle w:val="Default"/>
        <w:rPr>
          <w:rFonts w:ascii="Arial" w:hAnsi="Arial" w:cs="Arial"/>
          <w:sz w:val="22"/>
          <w:szCs w:val="22"/>
        </w:rPr>
      </w:pPr>
      <w:r w:rsidRPr="00A67C35">
        <w:rPr>
          <w:rFonts w:ascii="Arial" w:hAnsi="Arial" w:cs="Arial"/>
          <w:sz w:val="22"/>
          <w:szCs w:val="22"/>
        </w:rPr>
        <w:t xml:space="preserve">The SPP </w:t>
      </w:r>
      <w:r w:rsidR="00801814" w:rsidRPr="00A67C35">
        <w:rPr>
          <w:rFonts w:ascii="Arial" w:hAnsi="Arial" w:cs="Arial"/>
          <w:sz w:val="22"/>
          <w:szCs w:val="22"/>
        </w:rPr>
        <w:t>outlines the types of risks</w:t>
      </w:r>
      <w:r w:rsidRPr="00A67C35">
        <w:rPr>
          <w:rFonts w:ascii="Arial" w:hAnsi="Arial" w:cs="Arial"/>
          <w:sz w:val="22"/>
          <w:szCs w:val="22"/>
        </w:rPr>
        <w:t xml:space="preserve"> and explains the measures in place to mitigate the</w:t>
      </w:r>
      <w:r w:rsidR="009B31B6" w:rsidRPr="00A67C35">
        <w:rPr>
          <w:rFonts w:ascii="Arial" w:hAnsi="Arial" w:cs="Arial"/>
          <w:sz w:val="22"/>
          <w:szCs w:val="22"/>
        </w:rPr>
        <w:t>ir</w:t>
      </w:r>
      <w:r w:rsidRPr="00A67C35">
        <w:rPr>
          <w:rFonts w:ascii="Arial" w:hAnsi="Arial" w:cs="Arial"/>
          <w:sz w:val="22"/>
          <w:szCs w:val="22"/>
        </w:rPr>
        <w:t xml:space="preserve"> impact</w:t>
      </w:r>
      <w:r w:rsidR="00801814" w:rsidRPr="00A67C35">
        <w:rPr>
          <w:rFonts w:ascii="Arial" w:hAnsi="Arial" w:cs="Arial"/>
          <w:sz w:val="22"/>
          <w:szCs w:val="22"/>
        </w:rPr>
        <w:t xml:space="preserve">. </w:t>
      </w:r>
      <w:r w:rsidRPr="00A67C35">
        <w:rPr>
          <w:rFonts w:ascii="Arial" w:hAnsi="Arial" w:cs="Arial"/>
          <w:sz w:val="22"/>
          <w:szCs w:val="22"/>
        </w:rPr>
        <w:t xml:space="preserve">  </w:t>
      </w:r>
      <w:r w:rsidR="00FA5B2B" w:rsidRPr="00A67C35">
        <w:rPr>
          <w:rFonts w:ascii="Arial" w:hAnsi="Arial" w:cs="Arial"/>
          <w:sz w:val="22"/>
          <w:szCs w:val="22"/>
        </w:rPr>
        <w:t>The plan acknowledges that there is not one single measure that will be suitable for all students and will take into account the individual needs of all students.</w:t>
      </w:r>
    </w:p>
    <w:p w:rsidR="00857C0B" w:rsidRPr="00A67C35" w:rsidRDefault="00801814" w:rsidP="00801814">
      <w:pPr>
        <w:pStyle w:val="Default"/>
        <w:rPr>
          <w:rFonts w:ascii="Arial" w:hAnsi="Arial" w:cs="Arial"/>
          <w:color w:val="0462C1"/>
          <w:sz w:val="22"/>
          <w:szCs w:val="22"/>
        </w:rPr>
      </w:pPr>
      <w:r w:rsidRPr="00A67C35">
        <w:rPr>
          <w:rFonts w:ascii="Arial" w:hAnsi="Arial" w:cs="Arial"/>
          <w:sz w:val="22"/>
          <w:szCs w:val="22"/>
        </w:rPr>
        <w:t xml:space="preserve">This </w:t>
      </w:r>
      <w:r w:rsidR="007702D3" w:rsidRPr="00A67C35">
        <w:rPr>
          <w:rFonts w:ascii="Arial" w:hAnsi="Arial" w:cs="Arial"/>
          <w:sz w:val="22"/>
          <w:szCs w:val="22"/>
        </w:rPr>
        <w:t>p</w:t>
      </w:r>
      <w:r w:rsidRPr="00A67C35">
        <w:rPr>
          <w:rFonts w:ascii="Arial" w:hAnsi="Arial" w:cs="Arial"/>
          <w:sz w:val="22"/>
          <w:szCs w:val="22"/>
        </w:rPr>
        <w:t>lan forms an importan</w:t>
      </w:r>
      <w:r w:rsidR="008E7E82">
        <w:rPr>
          <w:rFonts w:ascii="Arial" w:hAnsi="Arial" w:cs="Arial"/>
          <w:sz w:val="22"/>
          <w:szCs w:val="22"/>
        </w:rPr>
        <w:t xml:space="preserve">t part of your Student Contract.  </w:t>
      </w:r>
      <w:hyperlink r:id="rId6" w:history="1">
        <w:r w:rsidR="00A31513" w:rsidRPr="00C101F0">
          <w:rPr>
            <w:rStyle w:val="Hyperlink"/>
            <w:rFonts w:ascii="Arial" w:hAnsi="Arial" w:cs="Arial"/>
            <w:sz w:val="22"/>
            <w:szCs w:val="22"/>
          </w:rPr>
          <w:t>https://www.leedscitycollege.ac.uk/media/3542/terms-and-conditions.docx</w:t>
        </w:r>
      </w:hyperlink>
      <w:r w:rsidR="00A31513">
        <w:rPr>
          <w:rFonts w:ascii="Arial" w:hAnsi="Arial" w:cs="Arial"/>
          <w:sz w:val="22"/>
          <w:szCs w:val="22"/>
        </w:rPr>
        <w:t xml:space="preserve"> </w:t>
      </w:r>
    </w:p>
    <w:p w:rsidR="00857C0B" w:rsidRPr="00A67C35" w:rsidRDefault="007702D3" w:rsidP="00801814">
      <w:pPr>
        <w:pStyle w:val="Default"/>
        <w:rPr>
          <w:rFonts w:ascii="Arial" w:hAnsi="Arial" w:cs="Arial"/>
          <w:bCs/>
          <w:sz w:val="22"/>
          <w:szCs w:val="22"/>
        </w:rPr>
      </w:pPr>
      <w:r w:rsidRPr="00A67C35">
        <w:rPr>
          <w:rFonts w:ascii="Arial" w:hAnsi="Arial" w:cs="Arial"/>
          <w:bCs/>
          <w:sz w:val="22"/>
          <w:szCs w:val="22"/>
        </w:rPr>
        <w:t>Potential risks and actions to mitigate/minimise are detailed in Schedule 1.</w:t>
      </w:r>
    </w:p>
    <w:p w:rsidR="007702D3" w:rsidRPr="00A67C35" w:rsidRDefault="007702D3" w:rsidP="00801814">
      <w:pPr>
        <w:pStyle w:val="Default"/>
        <w:rPr>
          <w:rFonts w:ascii="Arial" w:hAnsi="Arial" w:cs="Arial"/>
          <w:bCs/>
          <w:sz w:val="22"/>
          <w:szCs w:val="22"/>
        </w:rPr>
      </w:pPr>
      <w:r w:rsidRPr="00A67C35">
        <w:rPr>
          <w:rFonts w:ascii="Arial" w:hAnsi="Arial" w:cs="Arial"/>
          <w:bCs/>
          <w:sz w:val="22"/>
          <w:szCs w:val="22"/>
        </w:rPr>
        <w:t>To minimise potential risks to continuity the College operates a robust Business Planning and Performance Management Process.  Together these ensure that appropriate resources (including staffing) are in place to deliver the programmes</w:t>
      </w:r>
      <w:r w:rsidR="001372E5" w:rsidRPr="00A67C35">
        <w:rPr>
          <w:rFonts w:ascii="Arial" w:hAnsi="Arial" w:cs="Arial"/>
          <w:bCs/>
          <w:sz w:val="22"/>
          <w:szCs w:val="22"/>
        </w:rPr>
        <w:t>, potential risks are identified</w:t>
      </w:r>
      <w:r w:rsidR="009B31B6" w:rsidRPr="00A67C35">
        <w:rPr>
          <w:rFonts w:ascii="Arial" w:hAnsi="Arial" w:cs="Arial"/>
          <w:bCs/>
          <w:sz w:val="22"/>
          <w:szCs w:val="22"/>
        </w:rPr>
        <w:t xml:space="preserve"> and actions taken to mitigate them through the risk register.</w:t>
      </w:r>
    </w:p>
    <w:p w:rsidR="007702D3" w:rsidRPr="00A67C35" w:rsidRDefault="007702D3" w:rsidP="00801814">
      <w:pPr>
        <w:pStyle w:val="Default"/>
        <w:rPr>
          <w:rFonts w:ascii="Arial" w:hAnsi="Arial" w:cs="Arial"/>
          <w:bCs/>
          <w:sz w:val="22"/>
          <w:szCs w:val="22"/>
        </w:rPr>
      </w:pPr>
    </w:p>
    <w:p w:rsidR="001E083E" w:rsidRPr="00A67C35" w:rsidRDefault="001E083E" w:rsidP="00801814">
      <w:pPr>
        <w:pStyle w:val="Default"/>
        <w:rPr>
          <w:rFonts w:ascii="Arial" w:hAnsi="Arial" w:cs="Arial"/>
          <w:b/>
          <w:bCs/>
          <w:sz w:val="22"/>
          <w:szCs w:val="22"/>
        </w:rPr>
      </w:pPr>
      <w:r w:rsidRPr="00A67C35">
        <w:rPr>
          <w:rFonts w:ascii="Arial" w:hAnsi="Arial" w:cs="Arial"/>
          <w:b/>
          <w:bCs/>
          <w:sz w:val="22"/>
          <w:szCs w:val="22"/>
        </w:rPr>
        <w:t>Closure of programmes</w:t>
      </w:r>
    </w:p>
    <w:p w:rsidR="007702D3" w:rsidRPr="00A67C35" w:rsidRDefault="001E083E" w:rsidP="00801814">
      <w:pPr>
        <w:pStyle w:val="Default"/>
        <w:rPr>
          <w:rFonts w:ascii="Arial" w:hAnsi="Arial" w:cs="Arial"/>
          <w:bCs/>
          <w:sz w:val="22"/>
          <w:szCs w:val="22"/>
        </w:rPr>
      </w:pPr>
      <w:r w:rsidRPr="00A67C35">
        <w:rPr>
          <w:rFonts w:ascii="Arial" w:hAnsi="Arial" w:cs="Arial"/>
          <w:bCs/>
          <w:sz w:val="22"/>
          <w:szCs w:val="22"/>
        </w:rPr>
        <w:t>Closure of programmes are rare but in such an event, t</w:t>
      </w:r>
      <w:r w:rsidR="001372E5" w:rsidRPr="00A67C35">
        <w:rPr>
          <w:rFonts w:ascii="Arial" w:hAnsi="Arial" w:cs="Arial"/>
          <w:bCs/>
          <w:sz w:val="22"/>
          <w:szCs w:val="22"/>
        </w:rPr>
        <w:t>he College is committed to ensuring that all students have the opportunity to complete their studies.  This is facilitated through a commitment</w:t>
      </w:r>
      <w:r w:rsidRPr="00A67C35">
        <w:rPr>
          <w:rFonts w:ascii="Arial" w:hAnsi="Arial" w:cs="Arial"/>
          <w:bCs/>
          <w:sz w:val="22"/>
          <w:szCs w:val="22"/>
        </w:rPr>
        <w:t xml:space="preserve"> to ‘Teach Out’.  Teach Out refers to the phased closure of a programme to ensure that the impact upon students is minimal and that students are able to complete their studies.  There may be certain circumstance where teach out is not possible but this will only be in exceptional circumstances.  In the event of this the College will support students by offering</w:t>
      </w:r>
      <w:r w:rsidR="00DC01D9" w:rsidRPr="00A67C35">
        <w:rPr>
          <w:rFonts w:ascii="Arial" w:hAnsi="Arial" w:cs="Arial"/>
          <w:bCs/>
          <w:sz w:val="22"/>
          <w:szCs w:val="22"/>
        </w:rPr>
        <w:t xml:space="preserve"> transfers to alternative programmes within the College or to alternative programmes with other providers.  However, this is the last resort and has not happened previously and </w:t>
      </w:r>
      <w:proofErr w:type="gramStart"/>
      <w:r w:rsidR="00DC01D9" w:rsidRPr="00A67C35">
        <w:rPr>
          <w:rFonts w:ascii="Arial" w:hAnsi="Arial" w:cs="Arial"/>
          <w:bCs/>
          <w:sz w:val="22"/>
          <w:szCs w:val="22"/>
        </w:rPr>
        <w:t>will</w:t>
      </w:r>
      <w:proofErr w:type="gramEnd"/>
      <w:r w:rsidR="00DC01D9" w:rsidRPr="00A67C35">
        <w:rPr>
          <w:rFonts w:ascii="Arial" w:hAnsi="Arial" w:cs="Arial"/>
          <w:bCs/>
          <w:sz w:val="22"/>
          <w:szCs w:val="22"/>
        </w:rPr>
        <w:t xml:space="preserve"> be avoided if at all possible.</w:t>
      </w:r>
    </w:p>
    <w:p w:rsidR="001372E5" w:rsidRPr="00A67C35" w:rsidRDefault="001372E5" w:rsidP="00801814">
      <w:pPr>
        <w:pStyle w:val="Default"/>
        <w:rPr>
          <w:rFonts w:ascii="Arial" w:hAnsi="Arial" w:cs="Arial"/>
          <w:b/>
          <w:bCs/>
          <w:sz w:val="22"/>
          <w:szCs w:val="22"/>
        </w:rPr>
      </w:pPr>
    </w:p>
    <w:p w:rsidR="00801814" w:rsidRPr="00A67C35" w:rsidRDefault="00801814" w:rsidP="00801814">
      <w:pPr>
        <w:pStyle w:val="Default"/>
        <w:rPr>
          <w:rFonts w:ascii="Arial" w:hAnsi="Arial" w:cs="Arial"/>
          <w:color w:val="auto"/>
          <w:sz w:val="22"/>
          <w:szCs w:val="22"/>
        </w:rPr>
      </w:pPr>
    </w:p>
    <w:p w:rsidR="00BE579E" w:rsidRPr="00A67C35" w:rsidRDefault="00BE579E" w:rsidP="00801814">
      <w:pPr>
        <w:pStyle w:val="Default"/>
        <w:rPr>
          <w:rFonts w:ascii="Arial" w:hAnsi="Arial" w:cs="Arial"/>
          <w:b/>
          <w:color w:val="auto"/>
          <w:sz w:val="22"/>
          <w:szCs w:val="22"/>
        </w:rPr>
      </w:pPr>
      <w:r w:rsidRPr="00A67C35">
        <w:rPr>
          <w:rFonts w:ascii="Arial" w:hAnsi="Arial" w:cs="Arial"/>
          <w:b/>
          <w:color w:val="auto"/>
          <w:sz w:val="22"/>
          <w:szCs w:val="22"/>
        </w:rPr>
        <w:t>Maintenance of the Plan</w:t>
      </w:r>
    </w:p>
    <w:p w:rsidR="00BE579E" w:rsidRPr="00A67C35" w:rsidRDefault="00BE579E" w:rsidP="00801814">
      <w:pPr>
        <w:pStyle w:val="Default"/>
        <w:rPr>
          <w:rFonts w:ascii="Arial" w:hAnsi="Arial" w:cs="Arial"/>
          <w:color w:val="auto"/>
          <w:sz w:val="22"/>
          <w:szCs w:val="22"/>
        </w:rPr>
      </w:pPr>
      <w:r w:rsidRPr="00A67C35">
        <w:rPr>
          <w:rFonts w:ascii="Arial" w:hAnsi="Arial" w:cs="Arial"/>
          <w:color w:val="auto"/>
          <w:sz w:val="22"/>
          <w:szCs w:val="22"/>
        </w:rPr>
        <w:t>The plan will be reviewed annually to ensure its currency and appropriateness.  This will involve both staff and student consultation.</w:t>
      </w:r>
    </w:p>
    <w:p w:rsidR="00BE579E" w:rsidRPr="00A67C35" w:rsidRDefault="00BE579E" w:rsidP="00801814">
      <w:pPr>
        <w:pStyle w:val="Default"/>
        <w:rPr>
          <w:rFonts w:ascii="Arial" w:hAnsi="Arial" w:cs="Arial"/>
          <w:color w:val="auto"/>
          <w:sz w:val="22"/>
          <w:szCs w:val="22"/>
        </w:rPr>
      </w:pPr>
    </w:p>
    <w:p w:rsidR="00BE579E" w:rsidRPr="00A67C35" w:rsidRDefault="00BE579E" w:rsidP="00801814">
      <w:pPr>
        <w:pStyle w:val="Default"/>
        <w:rPr>
          <w:rFonts w:ascii="Arial" w:hAnsi="Arial" w:cs="Arial"/>
          <w:b/>
          <w:color w:val="auto"/>
          <w:sz w:val="22"/>
          <w:szCs w:val="22"/>
        </w:rPr>
      </w:pPr>
      <w:r w:rsidRPr="00A67C35">
        <w:rPr>
          <w:rFonts w:ascii="Arial" w:hAnsi="Arial" w:cs="Arial"/>
          <w:b/>
          <w:color w:val="auto"/>
          <w:sz w:val="22"/>
          <w:szCs w:val="22"/>
        </w:rPr>
        <w:t>Communication</w:t>
      </w:r>
    </w:p>
    <w:p w:rsidR="00BE579E" w:rsidRPr="00A67C35" w:rsidRDefault="00BE579E" w:rsidP="00801814">
      <w:pPr>
        <w:pStyle w:val="Default"/>
        <w:rPr>
          <w:rFonts w:ascii="Arial" w:hAnsi="Arial" w:cs="Arial"/>
          <w:color w:val="auto"/>
          <w:sz w:val="22"/>
          <w:szCs w:val="22"/>
        </w:rPr>
      </w:pPr>
      <w:r w:rsidRPr="00A67C35">
        <w:rPr>
          <w:rFonts w:ascii="Arial" w:hAnsi="Arial" w:cs="Arial"/>
          <w:color w:val="auto"/>
          <w:sz w:val="22"/>
          <w:szCs w:val="22"/>
        </w:rPr>
        <w:t>The SPP will be available on the website for both current and future students.  It will be drawn to the attention of future students in the offer correspondence.  Any changes to the plan will be notified via the website and student VLE.</w:t>
      </w:r>
    </w:p>
    <w:p w:rsidR="00BE579E" w:rsidRPr="00A67C35" w:rsidRDefault="00BE579E" w:rsidP="00801814">
      <w:pPr>
        <w:pStyle w:val="Default"/>
        <w:rPr>
          <w:rFonts w:ascii="Arial" w:hAnsi="Arial" w:cs="Arial"/>
          <w:color w:val="auto"/>
          <w:sz w:val="22"/>
          <w:szCs w:val="22"/>
        </w:rPr>
      </w:pPr>
      <w:r w:rsidRPr="00A67C35">
        <w:rPr>
          <w:rFonts w:ascii="Arial" w:hAnsi="Arial" w:cs="Arial"/>
          <w:color w:val="auto"/>
          <w:sz w:val="22"/>
          <w:szCs w:val="22"/>
        </w:rPr>
        <w:lastRenderedPageBreak/>
        <w:t>Programme handbooks will refer students to the plan.  The plan will be available for staff on both the website and the staff intranet.</w:t>
      </w:r>
    </w:p>
    <w:p w:rsidR="00A0707D" w:rsidRPr="00A67C35" w:rsidRDefault="00A0707D" w:rsidP="00801814">
      <w:pPr>
        <w:pStyle w:val="Default"/>
        <w:rPr>
          <w:rFonts w:ascii="Arial" w:hAnsi="Arial" w:cs="Arial"/>
          <w:color w:val="auto"/>
          <w:sz w:val="22"/>
          <w:szCs w:val="22"/>
        </w:rPr>
      </w:pPr>
      <w:r w:rsidRPr="00A67C35">
        <w:rPr>
          <w:rFonts w:ascii="Arial" w:hAnsi="Arial" w:cs="Arial"/>
          <w:color w:val="auto"/>
          <w:sz w:val="22"/>
          <w:szCs w:val="22"/>
        </w:rPr>
        <w:t>In the event of any of the risks identified actually happening the College will communicate with the students at the earliest opportunity.  This will be via both verbal and written communication.  The College will then liaise with affected student group</w:t>
      </w:r>
      <w:r w:rsidR="00491EB2" w:rsidRPr="00A67C35">
        <w:rPr>
          <w:rFonts w:ascii="Arial" w:hAnsi="Arial" w:cs="Arial"/>
          <w:color w:val="auto"/>
          <w:sz w:val="22"/>
          <w:szCs w:val="22"/>
        </w:rPr>
        <w:t>s</w:t>
      </w:r>
      <w:r w:rsidRPr="00A67C35">
        <w:rPr>
          <w:rFonts w:ascii="Arial" w:hAnsi="Arial" w:cs="Arial"/>
          <w:color w:val="auto"/>
          <w:sz w:val="22"/>
          <w:szCs w:val="22"/>
        </w:rPr>
        <w:t xml:space="preserve"> regarding mitigation measures.  Students will be able to discuss the matter on a group and/or individual basis with a named contact.  Advice and support will be available to students</w:t>
      </w:r>
    </w:p>
    <w:p w:rsidR="00A0707D" w:rsidRPr="00A67C35" w:rsidRDefault="00A0707D" w:rsidP="00801814">
      <w:pPr>
        <w:pStyle w:val="Default"/>
        <w:rPr>
          <w:rFonts w:ascii="Arial" w:hAnsi="Arial" w:cs="Arial"/>
          <w:color w:val="auto"/>
          <w:sz w:val="22"/>
          <w:szCs w:val="22"/>
        </w:rPr>
      </w:pPr>
    </w:p>
    <w:p w:rsidR="00A0707D" w:rsidRPr="00A67C35" w:rsidRDefault="00A0707D" w:rsidP="00801814">
      <w:pPr>
        <w:pStyle w:val="Default"/>
        <w:rPr>
          <w:rFonts w:ascii="Arial" w:hAnsi="Arial" w:cs="Arial"/>
          <w:b/>
          <w:color w:val="auto"/>
          <w:sz w:val="22"/>
          <w:szCs w:val="22"/>
        </w:rPr>
      </w:pPr>
      <w:r w:rsidRPr="00A67C35">
        <w:rPr>
          <w:rFonts w:ascii="Arial" w:hAnsi="Arial" w:cs="Arial"/>
          <w:b/>
          <w:color w:val="auto"/>
          <w:sz w:val="22"/>
          <w:szCs w:val="22"/>
        </w:rPr>
        <w:t>Refund and Compensation Policy</w:t>
      </w:r>
    </w:p>
    <w:p w:rsidR="00A0707D" w:rsidRDefault="00A0707D" w:rsidP="00801814">
      <w:pPr>
        <w:pStyle w:val="Default"/>
        <w:rPr>
          <w:rFonts w:ascii="Arial" w:hAnsi="Arial" w:cs="Arial"/>
          <w:color w:val="auto"/>
          <w:sz w:val="22"/>
          <w:szCs w:val="22"/>
        </w:rPr>
      </w:pPr>
      <w:r w:rsidRPr="00A67C35">
        <w:rPr>
          <w:rFonts w:ascii="Arial" w:hAnsi="Arial" w:cs="Arial"/>
          <w:color w:val="auto"/>
          <w:sz w:val="22"/>
          <w:szCs w:val="22"/>
        </w:rPr>
        <w:t xml:space="preserve">The College has a Higher Education Fees, Refund and Compensation Policy which details the circumstances in which refunds and compensation will be given in the event of a programme being discontinued.   Refunds and compensation are considered as a last resort and </w:t>
      </w:r>
      <w:r w:rsidR="00491EB2" w:rsidRPr="00A67C35">
        <w:rPr>
          <w:rFonts w:ascii="Arial" w:hAnsi="Arial" w:cs="Arial"/>
          <w:color w:val="auto"/>
          <w:sz w:val="22"/>
          <w:szCs w:val="22"/>
        </w:rPr>
        <w:t xml:space="preserve">we </w:t>
      </w:r>
      <w:r w:rsidRPr="00A67C35">
        <w:rPr>
          <w:rFonts w:ascii="Arial" w:hAnsi="Arial" w:cs="Arial"/>
          <w:color w:val="auto"/>
          <w:sz w:val="22"/>
          <w:szCs w:val="22"/>
        </w:rPr>
        <w:t>will do everything possible to ensure that these are not necessary.</w:t>
      </w:r>
    </w:p>
    <w:p w:rsidR="00972B8A" w:rsidRPr="00972B8A" w:rsidRDefault="0067083D" w:rsidP="00972B8A">
      <w:pPr>
        <w:rPr>
          <w:rFonts w:ascii="Arial" w:hAnsi="Arial" w:cs="Arial"/>
        </w:rPr>
      </w:pPr>
      <w:r>
        <w:rPr>
          <w:rFonts w:ascii="Arial" w:hAnsi="Arial" w:cs="Arial"/>
        </w:rPr>
        <w:t>In order to meet any financial implications of our SPP, the College intends to adopt a Student Refund and Compensation Fund in the unlikely event of this plan being invoked.  This fund will be established from tuition fee income.</w:t>
      </w:r>
      <w:r w:rsidR="00972B8A">
        <w:rPr>
          <w:rFonts w:ascii="Arial" w:hAnsi="Arial" w:cs="Arial"/>
        </w:rPr>
        <w:t xml:space="preserve">  </w:t>
      </w:r>
      <w:hyperlink r:id="rId7" w:history="1">
        <w:r w:rsidR="00972B8A" w:rsidRPr="00972B8A">
          <w:rPr>
            <w:rStyle w:val="Hyperlink"/>
            <w:rFonts w:ascii="Arial" w:hAnsi="Arial" w:cs="Arial"/>
          </w:rPr>
          <w:t>https://www.leedscitycollege.ac.uk/media/4487/lcc-higher-education-refund-and-compensation-policy-for-non-continuation-2018-19.docx</w:t>
        </w:r>
      </w:hyperlink>
    </w:p>
    <w:p w:rsidR="0067083D" w:rsidRPr="00A67C35" w:rsidRDefault="0067083D" w:rsidP="00801814">
      <w:pPr>
        <w:pStyle w:val="Default"/>
        <w:rPr>
          <w:rFonts w:ascii="Arial" w:hAnsi="Arial" w:cs="Arial"/>
          <w:color w:val="auto"/>
          <w:sz w:val="22"/>
          <w:szCs w:val="22"/>
        </w:rPr>
      </w:pPr>
    </w:p>
    <w:p w:rsidR="00DC01D9" w:rsidRPr="00A67C35" w:rsidRDefault="00DC01D9" w:rsidP="00801814">
      <w:pPr>
        <w:pStyle w:val="Default"/>
        <w:rPr>
          <w:rFonts w:ascii="Arial" w:hAnsi="Arial" w:cs="Arial"/>
          <w:color w:val="auto"/>
          <w:sz w:val="22"/>
          <w:szCs w:val="22"/>
        </w:rPr>
      </w:pPr>
    </w:p>
    <w:p w:rsidR="00DC01D9" w:rsidRPr="00A67C35" w:rsidRDefault="00DC01D9" w:rsidP="00DC01D9">
      <w:pPr>
        <w:pStyle w:val="Default"/>
        <w:rPr>
          <w:rFonts w:ascii="Arial" w:hAnsi="Arial" w:cs="Arial"/>
          <w:color w:val="auto"/>
          <w:sz w:val="22"/>
          <w:szCs w:val="22"/>
        </w:rPr>
      </w:pPr>
    </w:p>
    <w:p w:rsidR="00214BFA" w:rsidRPr="00A67C35" w:rsidRDefault="00214BFA" w:rsidP="00801814">
      <w:pPr>
        <w:pStyle w:val="Default"/>
        <w:rPr>
          <w:rFonts w:ascii="Arial" w:hAnsi="Arial" w:cs="Arial"/>
          <w:b/>
          <w:color w:val="auto"/>
          <w:sz w:val="22"/>
          <w:szCs w:val="22"/>
        </w:rPr>
      </w:pPr>
      <w:r w:rsidRPr="00A67C35">
        <w:rPr>
          <w:rFonts w:ascii="Arial" w:hAnsi="Arial" w:cs="Arial"/>
          <w:b/>
          <w:color w:val="auto"/>
          <w:sz w:val="22"/>
          <w:szCs w:val="22"/>
        </w:rPr>
        <w:t>Schedule 1</w:t>
      </w:r>
    </w:p>
    <w:p w:rsidR="00DC01D9" w:rsidRDefault="00DC01D9" w:rsidP="00801814">
      <w:pPr>
        <w:pStyle w:val="Default"/>
        <w:rPr>
          <w:rFonts w:ascii="Arial" w:hAnsi="Arial" w:cs="Arial"/>
          <w:color w:val="auto"/>
          <w:sz w:val="22"/>
          <w:szCs w:val="22"/>
        </w:rPr>
      </w:pPr>
      <w:r w:rsidRPr="00A67C35">
        <w:rPr>
          <w:rFonts w:ascii="Arial" w:hAnsi="Arial" w:cs="Arial"/>
          <w:color w:val="auto"/>
          <w:sz w:val="22"/>
          <w:szCs w:val="22"/>
        </w:rPr>
        <w:t xml:space="preserve">Schedule 1 lists a number of risks which may affect the continuation of programmes.  This list is not exhaustive but details the </w:t>
      </w:r>
      <w:r w:rsidR="00214BFA" w:rsidRPr="00A67C35">
        <w:rPr>
          <w:rFonts w:ascii="Arial" w:hAnsi="Arial" w:cs="Arial"/>
          <w:color w:val="auto"/>
          <w:sz w:val="22"/>
          <w:szCs w:val="22"/>
        </w:rPr>
        <w:t>more probable risks and the measures taken by the College to mitigate their impact.</w:t>
      </w:r>
    </w:p>
    <w:p w:rsidR="008E7E82" w:rsidRDefault="008E7E82" w:rsidP="00801814">
      <w:pPr>
        <w:pStyle w:val="Default"/>
        <w:rPr>
          <w:rFonts w:ascii="Arial" w:hAnsi="Arial" w:cs="Arial"/>
          <w:color w:val="auto"/>
          <w:sz w:val="22"/>
          <w:szCs w:val="22"/>
        </w:rPr>
      </w:pPr>
    </w:p>
    <w:p w:rsidR="008E7E82" w:rsidRDefault="008E7E82" w:rsidP="00801814">
      <w:pPr>
        <w:pStyle w:val="Default"/>
        <w:rPr>
          <w:rFonts w:ascii="Arial" w:hAnsi="Arial" w:cs="Arial"/>
          <w:color w:val="auto"/>
          <w:sz w:val="22"/>
          <w:szCs w:val="22"/>
        </w:rPr>
        <w:sectPr w:rsidR="008E7E82" w:rsidSect="005D51B0">
          <w:pgSz w:w="11906" w:h="16838"/>
          <w:pgMar w:top="1440" w:right="1440" w:bottom="1440" w:left="1440" w:header="708" w:footer="708" w:gutter="0"/>
          <w:cols w:space="708"/>
          <w:docGrid w:linePitch="360"/>
        </w:sectPr>
      </w:pPr>
    </w:p>
    <w:p w:rsidR="008E7E82" w:rsidRPr="008E7E82" w:rsidRDefault="008E7E82" w:rsidP="00801814">
      <w:pPr>
        <w:pStyle w:val="Default"/>
        <w:rPr>
          <w:rFonts w:ascii="Arial" w:hAnsi="Arial" w:cs="Arial"/>
          <w:b/>
          <w:color w:val="auto"/>
          <w:sz w:val="22"/>
          <w:szCs w:val="22"/>
        </w:rPr>
      </w:pPr>
      <w:r w:rsidRPr="008E7E82">
        <w:rPr>
          <w:rFonts w:ascii="Arial" w:hAnsi="Arial" w:cs="Arial"/>
          <w:b/>
          <w:color w:val="auto"/>
          <w:sz w:val="22"/>
          <w:szCs w:val="22"/>
        </w:rPr>
        <w:lastRenderedPageBreak/>
        <w:t>SCHEDULE 1</w:t>
      </w:r>
    </w:p>
    <w:tbl>
      <w:tblPr>
        <w:tblStyle w:val="TableGrid"/>
        <w:tblpPr w:leftFromText="180" w:rightFromText="180" w:horzAnchor="margin" w:tblpY="705"/>
        <w:tblW w:w="0" w:type="auto"/>
        <w:tblLook w:val="04A0" w:firstRow="1" w:lastRow="0" w:firstColumn="1" w:lastColumn="0" w:noHBand="0" w:noVBand="1"/>
      </w:tblPr>
      <w:tblGrid>
        <w:gridCol w:w="2458"/>
        <w:gridCol w:w="1217"/>
        <w:gridCol w:w="1112"/>
        <w:gridCol w:w="894"/>
        <w:gridCol w:w="2451"/>
        <w:gridCol w:w="1217"/>
        <w:gridCol w:w="1112"/>
        <w:gridCol w:w="860"/>
        <w:gridCol w:w="912"/>
      </w:tblGrid>
      <w:tr w:rsidR="008E7E82" w:rsidTr="008E7E82">
        <w:tc>
          <w:tcPr>
            <w:tcW w:w="2458" w:type="dxa"/>
          </w:tcPr>
          <w:p w:rsidR="008E7E82" w:rsidRPr="00C8006A" w:rsidRDefault="008E7E82" w:rsidP="008E7E82">
            <w:pPr>
              <w:jc w:val="center"/>
              <w:rPr>
                <w:b/>
              </w:rPr>
            </w:pPr>
            <w:r w:rsidRPr="00C8006A">
              <w:rPr>
                <w:b/>
              </w:rPr>
              <w:t>Risk Description</w:t>
            </w:r>
          </w:p>
        </w:tc>
        <w:tc>
          <w:tcPr>
            <w:tcW w:w="1217" w:type="dxa"/>
          </w:tcPr>
          <w:p w:rsidR="008E7E82" w:rsidRPr="00C8006A" w:rsidRDefault="008E7E82" w:rsidP="008E7E82">
            <w:pPr>
              <w:jc w:val="center"/>
              <w:rPr>
                <w:b/>
              </w:rPr>
            </w:pPr>
            <w:r w:rsidRPr="00C8006A">
              <w:rPr>
                <w:b/>
              </w:rPr>
              <w:t>Probability</w:t>
            </w:r>
          </w:p>
        </w:tc>
        <w:tc>
          <w:tcPr>
            <w:tcW w:w="1112" w:type="dxa"/>
          </w:tcPr>
          <w:p w:rsidR="008E7E82" w:rsidRPr="00C8006A" w:rsidRDefault="008E7E82" w:rsidP="008E7E82">
            <w:pPr>
              <w:jc w:val="center"/>
              <w:rPr>
                <w:b/>
              </w:rPr>
            </w:pPr>
            <w:r w:rsidRPr="00C8006A">
              <w:rPr>
                <w:b/>
              </w:rPr>
              <w:t>Impact</w:t>
            </w:r>
          </w:p>
        </w:tc>
        <w:tc>
          <w:tcPr>
            <w:tcW w:w="894" w:type="dxa"/>
          </w:tcPr>
          <w:p w:rsidR="008E7E82" w:rsidRPr="00C8006A" w:rsidRDefault="008E7E82" w:rsidP="008E7E82">
            <w:pPr>
              <w:jc w:val="center"/>
              <w:rPr>
                <w:b/>
              </w:rPr>
            </w:pPr>
            <w:r w:rsidRPr="00C8006A">
              <w:rPr>
                <w:b/>
              </w:rPr>
              <w:t>Gross Risk</w:t>
            </w:r>
          </w:p>
        </w:tc>
        <w:tc>
          <w:tcPr>
            <w:tcW w:w="2451" w:type="dxa"/>
          </w:tcPr>
          <w:p w:rsidR="008E7E82" w:rsidRPr="00C8006A" w:rsidRDefault="008E7E82" w:rsidP="008E7E82">
            <w:pPr>
              <w:jc w:val="center"/>
              <w:rPr>
                <w:b/>
              </w:rPr>
            </w:pPr>
            <w:r w:rsidRPr="00C8006A">
              <w:rPr>
                <w:b/>
              </w:rPr>
              <w:t>Mitigation: Planned &amp; in Place</w:t>
            </w:r>
          </w:p>
        </w:tc>
        <w:tc>
          <w:tcPr>
            <w:tcW w:w="1217" w:type="dxa"/>
          </w:tcPr>
          <w:p w:rsidR="008E7E82" w:rsidRPr="00C8006A" w:rsidRDefault="008E7E82" w:rsidP="008E7E82">
            <w:pPr>
              <w:jc w:val="center"/>
              <w:rPr>
                <w:b/>
              </w:rPr>
            </w:pPr>
            <w:r w:rsidRPr="00C8006A">
              <w:rPr>
                <w:b/>
              </w:rPr>
              <w:t>Probability</w:t>
            </w:r>
          </w:p>
        </w:tc>
        <w:tc>
          <w:tcPr>
            <w:tcW w:w="1112" w:type="dxa"/>
          </w:tcPr>
          <w:p w:rsidR="008E7E82" w:rsidRPr="00C8006A" w:rsidRDefault="008E7E82" w:rsidP="008E7E82">
            <w:pPr>
              <w:jc w:val="center"/>
              <w:rPr>
                <w:b/>
              </w:rPr>
            </w:pPr>
            <w:r w:rsidRPr="00C8006A">
              <w:rPr>
                <w:b/>
              </w:rPr>
              <w:t>Impact</w:t>
            </w:r>
          </w:p>
        </w:tc>
        <w:tc>
          <w:tcPr>
            <w:tcW w:w="860" w:type="dxa"/>
          </w:tcPr>
          <w:p w:rsidR="008E7E82" w:rsidRPr="00C8006A" w:rsidRDefault="008E7E82" w:rsidP="008E7E82">
            <w:pPr>
              <w:jc w:val="center"/>
              <w:rPr>
                <w:b/>
              </w:rPr>
            </w:pPr>
            <w:r w:rsidRPr="00C8006A">
              <w:rPr>
                <w:b/>
              </w:rPr>
              <w:t>Net Risk</w:t>
            </w:r>
          </w:p>
        </w:tc>
        <w:tc>
          <w:tcPr>
            <w:tcW w:w="912" w:type="dxa"/>
          </w:tcPr>
          <w:p w:rsidR="008E7E82" w:rsidRPr="00C8006A" w:rsidRDefault="008E7E82" w:rsidP="008E7E82">
            <w:pPr>
              <w:jc w:val="center"/>
              <w:rPr>
                <w:b/>
              </w:rPr>
            </w:pPr>
            <w:r w:rsidRPr="00C8006A">
              <w:rPr>
                <w:b/>
              </w:rPr>
              <w:t>Traffic Light</w:t>
            </w:r>
          </w:p>
        </w:tc>
      </w:tr>
      <w:tr w:rsidR="008E7E82" w:rsidTr="008E7E82">
        <w:tc>
          <w:tcPr>
            <w:tcW w:w="2458" w:type="dxa"/>
          </w:tcPr>
          <w:p w:rsidR="008E7E82" w:rsidRDefault="008E7E82" w:rsidP="008E7E82">
            <w:r>
              <w:t>Suspension/Closure of programme</w:t>
            </w:r>
          </w:p>
          <w:p w:rsidR="008E7E82" w:rsidRDefault="008E7E82" w:rsidP="008E7E82">
            <w:r>
              <w:t>This is where enrolment on a programme is suspended possibly due to insufficient applications</w:t>
            </w:r>
          </w:p>
        </w:tc>
        <w:tc>
          <w:tcPr>
            <w:tcW w:w="1217" w:type="dxa"/>
          </w:tcPr>
          <w:p w:rsidR="008E7E82" w:rsidRDefault="008E7E82" w:rsidP="008E7E82">
            <w:pPr>
              <w:jc w:val="center"/>
            </w:pPr>
            <w:r>
              <w:t>2</w:t>
            </w:r>
          </w:p>
          <w:p w:rsidR="008E7E82" w:rsidRDefault="008E7E82" w:rsidP="008E7E82">
            <w:pPr>
              <w:jc w:val="center"/>
            </w:pPr>
            <w:r>
              <w:t>Possible</w:t>
            </w:r>
          </w:p>
        </w:tc>
        <w:tc>
          <w:tcPr>
            <w:tcW w:w="1112" w:type="dxa"/>
          </w:tcPr>
          <w:p w:rsidR="008E7E82" w:rsidRDefault="008E7E82" w:rsidP="008E7E82">
            <w:pPr>
              <w:jc w:val="center"/>
            </w:pPr>
            <w:r>
              <w:t>3</w:t>
            </w:r>
          </w:p>
          <w:p w:rsidR="008E7E82" w:rsidRDefault="008E7E82" w:rsidP="008E7E82">
            <w:pPr>
              <w:jc w:val="center"/>
            </w:pPr>
            <w:r>
              <w:t>Damaging</w:t>
            </w:r>
          </w:p>
        </w:tc>
        <w:tc>
          <w:tcPr>
            <w:tcW w:w="894" w:type="dxa"/>
          </w:tcPr>
          <w:p w:rsidR="008E7E82" w:rsidRDefault="008E7E82" w:rsidP="008E7E82">
            <w:pPr>
              <w:jc w:val="center"/>
            </w:pPr>
            <w:r>
              <w:t>6</w:t>
            </w:r>
          </w:p>
          <w:p w:rsidR="008E7E82" w:rsidRDefault="008E7E82" w:rsidP="008E7E82">
            <w:pPr>
              <w:jc w:val="center"/>
            </w:pPr>
          </w:p>
        </w:tc>
        <w:tc>
          <w:tcPr>
            <w:tcW w:w="2451" w:type="dxa"/>
          </w:tcPr>
          <w:p w:rsidR="008E7E82" w:rsidRDefault="008E7E82" w:rsidP="008E7E82">
            <w:pPr>
              <w:pStyle w:val="ListParagraph"/>
              <w:numPr>
                <w:ilvl w:val="0"/>
                <w:numId w:val="1"/>
              </w:numPr>
              <w:spacing w:after="0" w:line="240" w:lineRule="auto"/>
            </w:pPr>
            <w:r>
              <w:t>Business Planning</w:t>
            </w:r>
          </w:p>
          <w:p w:rsidR="008E7E82" w:rsidRDefault="008E7E82" w:rsidP="008E7E82">
            <w:pPr>
              <w:pStyle w:val="ListParagraph"/>
              <w:numPr>
                <w:ilvl w:val="0"/>
                <w:numId w:val="1"/>
              </w:numPr>
              <w:spacing w:after="0" w:line="240" w:lineRule="auto"/>
            </w:pPr>
            <w:r>
              <w:t>Performance monitoring</w:t>
            </w:r>
          </w:p>
          <w:p w:rsidR="008E7E82" w:rsidRDefault="008E7E82" w:rsidP="008E7E82">
            <w:pPr>
              <w:pStyle w:val="ListParagraph"/>
              <w:numPr>
                <w:ilvl w:val="0"/>
                <w:numId w:val="1"/>
              </w:numPr>
              <w:spacing w:after="0" w:line="240" w:lineRule="auto"/>
            </w:pPr>
            <w:r>
              <w:t>Monitoring of applications</w:t>
            </w:r>
          </w:p>
          <w:p w:rsidR="008E7E82" w:rsidRDefault="007A161E" w:rsidP="008E7E82">
            <w:pPr>
              <w:pStyle w:val="ListParagraph"/>
              <w:numPr>
                <w:ilvl w:val="0"/>
                <w:numId w:val="1"/>
              </w:numPr>
              <w:spacing w:after="0" w:line="240" w:lineRule="auto"/>
            </w:pPr>
            <w:r>
              <w:t>E</w:t>
            </w:r>
            <w:r w:rsidR="008E7E82">
              <w:t>arly notification to potential applicants.</w:t>
            </w:r>
          </w:p>
          <w:p w:rsidR="008E7E82" w:rsidRDefault="008E7E82" w:rsidP="008E7E82">
            <w:pPr>
              <w:pStyle w:val="ListParagraph"/>
              <w:numPr>
                <w:ilvl w:val="0"/>
                <w:numId w:val="1"/>
              </w:numPr>
              <w:spacing w:after="0" w:line="240" w:lineRule="auto"/>
            </w:pPr>
            <w:r>
              <w:t>Identification of alternative courses for applicants</w:t>
            </w:r>
          </w:p>
          <w:p w:rsidR="008E7E82" w:rsidRDefault="008E7E82" w:rsidP="008E7E82">
            <w:pPr>
              <w:pStyle w:val="ListParagraph"/>
              <w:numPr>
                <w:ilvl w:val="0"/>
                <w:numId w:val="1"/>
              </w:numPr>
              <w:spacing w:after="0" w:line="240" w:lineRule="auto"/>
            </w:pPr>
            <w:r>
              <w:t xml:space="preserve">Teach out of current students </w:t>
            </w:r>
          </w:p>
          <w:p w:rsidR="008E7E82" w:rsidRDefault="008E7E82" w:rsidP="008E7E82">
            <w:pPr>
              <w:pStyle w:val="ListParagraph"/>
              <w:numPr>
                <w:ilvl w:val="0"/>
                <w:numId w:val="1"/>
              </w:numPr>
              <w:spacing w:after="0" w:line="240" w:lineRule="auto"/>
            </w:pPr>
            <w:r>
              <w:t xml:space="preserve">communication with current students to minimise concern </w:t>
            </w:r>
          </w:p>
          <w:p w:rsidR="008E7E82" w:rsidRDefault="008E7E82" w:rsidP="008E7E82">
            <w:pPr>
              <w:pStyle w:val="ListParagraph"/>
            </w:pPr>
          </w:p>
          <w:p w:rsidR="008E7E82" w:rsidRDefault="008E7E82" w:rsidP="008E7E82"/>
        </w:tc>
        <w:tc>
          <w:tcPr>
            <w:tcW w:w="1217" w:type="dxa"/>
          </w:tcPr>
          <w:p w:rsidR="008E7E82" w:rsidRDefault="008E7E82" w:rsidP="008E7E82">
            <w:pPr>
              <w:jc w:val="center"/>
            </w:pPr>
            <w:r>
              <w:t>2</w:t>
            </w:r>
          </w:p>
          <w:p w:rsidR="008E7E82" w:rsidRDefault="008E7E82" w:rsidP="008E7E82">
            <w:pPr>
              <w:jc w:val="center"/>
            </w:pPr>
            <w:r>
              <w:t>Unlikely</w:t>
            </w:r>
          </w:p>
          <w:p w:rsidR="008E7E82" w:rsidRDefault="008E7E82" w:rsidP="008E7E82">
            <w:pPr>
              <w:jc w:val="center"/>
            </w:pPr>
          </w:p>
          <w:p w:rsidR="008E7E82" w:rsidRDefault="008E7E82" w:rsidP="008E7E82">
            <w:pPr>
              <w:jc w:val="center"/>
            </w:pPr>
          </w:p>
          <w:p w:rsidR="008E7E82" w:rsidRDefault="008E7E82" w:rsidP="008E7E82">
            <w:pPr>
              <w:jc w:val="center"/>
            </w:pPr>
          </w:p>
          <w:p w:rsidR="008E7E82" w:rsidRDefault="008E7E82" w:rsidP="008E7E82">
            <w:pPr>
              <w:jc w:val="center"/>
            </w:pPr>
          </w:p>
          <w:p w:rsidR="008E7E82" w:rsidRDefault="008E7E82" w:rsidP="008E7E82">
            <w:pPr>
              <w:jc w:val="center"/>
            </w:pPr>
          </w:p>
          <w:p w:rsidR="008E7E82" w:rsidRDefault="008E7E82" w:rsidP="008E7E82">
            <w:pPr>
              <w:jc w:val="center"/>
            </w:pPr>
          </w:p>
          <w:p w:rsidR="008E7E82" w:rsidRDefault="008E7E82" w:rsidP="008E7E82">
            <w:pPr>
              <w:jc w:val="center"/>
            </w:pPr>
          </w:p>
        </w:tc>
        <w:tc>
          <w:tcPr>
            <w:tcW w:w="1112" w:type="dxa"/>
          </w:tcPr>
          <w:p w:rsidR="008E7E82" w:rsidRDefault="008E7E82" w:rsidP="008E7E82">
            <w:pPr>
              <w:jc w:val="center"/>
            </w:pPr>
            <w:r>
              <w:t>2</w:t>
            </w:r>
          </w:p>
          <w:p w:rsidR="008E7E82" w:rsidRDefault="008E7E82" w:rsidP="008E7E82">
            <w:pPr>
              <w:jc w:val="center"/>
            </w:pPr>
            <w:r>
              <w:t>Minimal</w:t>
            </w:r>
          </w:p>
        </w:tc>
        <w:tc>
          <w:tcPr>
            <w:tcW w:w="860" w:type="dxa"/>
          </w:tcPr>
          <w:p w:rsidR="008E7E82" w:rsidRDefault="008E7E82" w:rsidP="008E7E82">
            <w:pPr>
              <w:jc w:val="center"/>
            </w:pPr>
            <w:r>
              <w:t>4</w:t>
            </w:r>
          </w:p>
        </w:tc>
        <w:tc>
          <w:tcPr>
            <w:tcW w:w="912" w:type="dxa"/>
          </w:tcPr>
          <w:p w:rsidR="008E7E82" w:rsidRDefault="008E7E82" w:rsidP="008E7E82">
            <w:pPr>
              <w:ind w:left="360"/>
            </w:pPr>
            <w:r w:rsidRPr="00FF7067">
              <w:rPr>
                <w:color w:val="00B050"/>
                <w:sz w:val="36"/>
                <w:szCs w:val="36"/>
              </w:rPr>
              <w:t>●</w:t>
            </w:r>
          </w:p>
        </w:tc>
      </w:tr>
      <w:tr w:rsidR="008E7E82" w:rsidTr="008E7E82">
        <w:tc>
          <w:tcPr>
            <w:tcW w:w="2458" w:type="dxa"/>
          </w:tcPr>
          <w:p w:rsidR="008E7E82" w:rsidRDefault="008E7E82" w:rsidP="008E7E82">
            <w:r>
              <w:lastRenderedPageBreak/>
              <w:t>Major changes to Programmes</w:t>
            </w:r>
          </w:p>
          <w:p w:rsidR="008E7E82" w:rsidRDefault="008E7E82" w:rsidP="008E7E82"/>
          <w:p w:rsidR="008E7E82" w:rsidRDefault="008E7E82" w:rsidP="008E7E82"/>
        </w:tc>
        <w:tc>
          <w:tcPr>
            <w:tcW w:w="1217" w:type="dxa"/>
          </w:tcPr>
          <w:p w:rsidR="008E7E82" w:rsidRDefault="008E7E82" w:rsidP="008E7E82">
            <w:pPr>
              <w:jc w:val="center"/>
            </w:pPr>
            <w:r>
              <w:t>2</w:t>
            </w:r>
          </w:p>
        </w:tc>
        <w:tc>
          <w:tcPr>
            <w:tcW w:w="1112" w:type="dxa"/>
          </w:tcPr>
          <w:p w:rsidR="008E7E82" w:rsidRDefault="008E7E82" w:rsidP="008E7E82">
            <w:pPr>
              <w:jc w:val="center"/>
            </w:pPr>
            <w:r>
              <w:t>2</w:t>
            </w:r>
          </w:p>
        </w:tc>
        <w:tc>
          <w:tcPr>
            <w:tcW w:w="894" w:type="dxa"/>
          </w:tcPr>
          <w:p w:rsidR="008E7E82" w:rsidRDefault="008E7E82" w:rsidP="008E7E82">
            <w:pPr>
              <w:jc w:val="center"/>
            </w:pPr>
            <w:r>
              <w:t>4</w:t>
            </w:r>
          </w:p>
        </w:tc>
        <w:tc>
          <w:tcPr>
            <w:tcW w:w="2451" w:type="dxa"/>
          </w:tcPr>
          <w:p w:rsidR="008E7E82" w:rsidRDefault="008E7E82" w:rsidP="008E7E82">
            <w:pPr>
              <w:pStyle w:val="ListParagraph"/>
              <w:numPr>
                <w:ilvl w:val="0"/>
                <w:numId w:val="2"/>
              </w:numPr>
              <w:spacing w:after="0" w:line="240" w:lineRule="auto"/>
            </w:pPr>
            <w:r>
              <w:t>Rigorous approval processes to ensure currency and robustness of programme</w:t>
            </w:r>
          </w:p>
          <w:p w:rsidR="008E7E82" w:rsidRDefault="008E7E82" w:rsidP="008E7E82">
            <w:pPr>
              <w:pStyle w:val="ListParagraph"/>
              <w:numPr>
                <w:ilvl w:val="0"/>
                <w:numId w:val="2"/>
              </w:numPr>
              <w:spacing w:after="0" w:line="240" w:lineRule="auto"/>
            </w:pPr>
            <w:r>
              <w:t xml:space="preserve">Annual Planning to ensure quality and approval minor modifications </w:t>
            </w:r>
          </w:p>
          <w:p w:rsidR="008E7E82" w:rsidRDefault="008E7E82" w:rsidP="008E7E82">
            <w:pPr>
              <w:pStyle w:val="ListParagraph"/>
            </w:pPr>
            <w:r>
              <w:t xml:space="preserve">3. Changes usually for future cohorts not current students.  If affecting current students – will only take effect following consultation and approval by student body. </w:t>
            </w:r>
          </w:p>
          <w:p w:rsidR="008E7E82" w:rsidRDefault="008E7E82" w:rsidP="008E7E82">
            <w:pPr>
              <w:pStyle w:val="ListParagraph"/>
            </w:pPr>
            <w:r>
              <w:t>4.  Consultation with students</w:t>
            </w:r>
          </w:p>
          <w:p w:rsidR="008E7E82" w:rsidRDefault="008E7E82" w:rsidP="008E7E82">
            <w:pPr>
              <w:pStyle w:val="ListParagraph"/>
              <w:numPr>
                <w:ilvl w:val="0"/>
                <w:numId w:val="6"/>
              </w:numPr>
              <w:spacing w:after="0" w:line="240" w:lineRule="auto"/>
            </w:pPr>
            <w:r>
              <w:t>Early communication of planned changes to both prospective and current students.</w:t>
            </w:r>
          </w:p>
        </w:tc>
        <w:tc>
          <w:tcPr>
            <w:tcW w:w="1217" w:type="dxa"/>
          </w:tcPr>
          <w:p w:rsidR="008E7E82" w:rsidRDefault="008E7E82" w:rsidP="008E7E82">
            <w:pPr>
              <w:jc w:val="center"/>
            </w:pPr>
            <w:r>
              <w:t>1</w:t>
            </w:r>
          </w:p>
        </w:tc>
        <w:tc>
          <w:tcPr>
            <w:tcW w:w="1112" w:type="dxa"/>
          </w:tcPr>
          <w:p w:rsidR="008E7E82" w:rsidRDefault="008E7E82" w:rsidP="008E7E82">
            <w:pPr>
              <w:jc w:val="center"/>
            </w:pPr>
            <w:r>
              <w:t>1</w:t>
            </w:r>
          </w:p>
        </w:tc>
        <w:tc>
          <w:tcPr>
            <w:tcW w:w="860" w:type="dxa"/>
          </w:tcPr>
          <w:p w:rsidR="008E7E82" w:rsidRDefault="008E7E82" w:rsidP="008E7E82">
            <w:pPr>
              <w:jc w:val="center"/>
            </w:pPr>
            <w:r>
              <w:t>1</w:t>
            </w:r>
          </w:p>
        </w:tc>
        <w:tc>
          <w:tcPr>
            <w:tcW w:w="912" w:type="dxa"/>
          </w:tcPr>
          <w:p w:rsidR="008E7E82" w:rsidRDefault="008E7E82" w:rsidP="008E7E82">
            <w:r w:rsidRPr="00FF7067">
              <w:rPr>
                <w:color w:val="00B050"/>
                <w:sz w:val="36"/>
                <w:szCs w:val="36"/>
              </w:rPr>
              <w:t>●</w:t>
            </w:r>
          </w:p>
          <w:p w:rsidR="008E7E82" w:rsidRDefault="008E7E82" w:rsidP="008E7E82">
            <w:pPr>
              <w:jc w:val="center"/>
            </w:pPr>
          </w:p>
        </w:tc>
      </w:tr>
      <w:tr w:rsidR="008E7E82" w:rsidTr="008E7E82">
        <w:tc>
          <w:tcPr>
            <w:tcW w:w="2458" w:type="dxa"/>
          </w:tcPr>
          <w:p w:rsidR="008E7E82" w:rsidRDefault="008E7E82" w:rsidP="008E7E82">
            <w:r>
              <w:t>Loss of staff due to either illness or  leaving the college</w:t>
            </w:r>
          </w:p>
          <w:p w:rsidR="008E7E82" w:rsidRDefault="008E7E82" w:rsidP="008E7E82"/>
          <w:p w:rsidR="008E7E82" w:rsidRDefault="008E7E82" w:rsidP="008E7E82"/>
          <w:p w:rsidR="008E7E82" w:rsidRDefault="008E7E82" w:rsidP="008E7E82"/>
          <w:p w:rsidR="008E7E82" w:rsidRDefault="008E7E82" w:rsidP="008E7E82"/>
        </w:tc>
        <w:tc>
          <w:tcPr>
            <w:tcW w:w="1217" w:type="dxa"/>
          </w:tcPr>
          <w:p w:rsidR="008E7E82" w:rsidRDefault="008E7E82" w:rsidP="008E7E82">
            <w:pPr>
              <w:jc w:val="center"/>
            </w:pPr>
            <w:r>
              <w:t>3</w:t>
            </w:r>
          </w:p>
        </w:tc>
        <w:tc>
          <w:tcPr>
            <w:tcW w:w="1112" w:type="dxa"/>
          </w:tcPr>
          <w:p w:rsidR="008E7E82" w:rsidRDefault="008E7E82" w:rsidP="008E7E82">
            <w:pPr>
              <w:jc w:val="center"/>
            </w:pPr>
            <w:r>
              <w:t>4</w:t>
            </w:r>
          </w:p>
        </w:tc>
        <w:tc>
          <w:tcPr>
            <w:tcW w:w="894" w:type="dxa"/>
          </w:tcPr>
          <w:p w:rsidR="008E7E82" w:rsidRDefault="008E7E82" w:rsidP="008E7E82">
            <w:pPr>
              <w:jc w:val="center"/>
            </w:pPr>
            <w:r>
              <w:t>12</w:t>
            </w:r>
          </w:p>
        </w:tc>
        <w:tc>
          <w:tcPr>
            <w:tcW w:w="2451" w:type="dxa"/>
          </w:tcPr>
          <w:p w:rsidR="008E7E82" w:rsidRDefault="008E7E82" w:rsidP="008E7E82">
            <w:pPr>
              <w:pStyle w:val="ListParagraph"/>
              <w:numPr>
                <w:ilvl w:val="0"/>
                <w:numId w:val="3"/>
              </w:numPr>
              <w:spacing w:after="0" w:line="240" w:lineRule="auto"/>
            </w:pPr>
            <w:r>
              <w:t>Business planning process ensures sufficiency of staffing</w:t>
            </w:r>
          </w:p>
          <w:p w:rsidR="008E7E82" w:rsidRDefault="008E7E82" w:rsidP="008E7E82">
            <w:pPr>
              <w:pStyle w:val="ListParagraph"/>
              <w:numPr>
                <w:ilvl w:val="0"/>
                <w:numId w:val="3"/>
              </w:numPr>
              <w:spacing w:after="0" w:line="240" w:lineRule="auto"/>
            </w:pPr>
            <w:r>
              <w:t>The size of the group enables suitable staff to be sourced from other areas of the College</w:t>
            </w:r>
          </w:p>
          <w:p w:rsidR="008E7E82" w:rsidRDefault="008E7E82" w:rsidP="008E7E82">
            <w:pPr>
              <w:pStyle w:val="ListParagraph"/>
              <w:numPr>
                <w:ilvl w:val="0"/>
                <w:numId w:val="3"/>
              </w:numPr>
              <w:spacing w:after="0" w:line="240" w:lineRule="auto"/>
            </w:pPr>
            <w:r>
              <w:t>The College will seek to fill gaps as quickly as possible</w:t>
            </w:r>
          </w:p>
          <w:p w:rsidR="008E7E82" w:rsidRDefault="008E7E82" w:rsidP="008E7E82">
            <w:pPr>
              <w:pStyle w:val="ListParagraph"/>
              <w:numPr>
                <w:ilvl w:val="0"/>
                <w:numId w:val="3"/>
              </w:numPr>
              <w:spacing w:after="0" w:line="240" w:lineRule="auto"/>
            </w:pPr>
            <w:r>
              <w:t>Where possible to have a bank of part-time/flexible staff to cover</w:t>
            </w:r>
          </w:p>
          <w:p w:rsidR="008E7E82" w:rsidRDefault="008E7E82" w:rsidP="008E7E82">
            <w:pPr>
              <w:pStyle w:val="ListParagraph"/>
            </w:pPr>
          </w:p>
          <w:p w:rsidR="008E7E82" w:rsidRDefault="008E7E82" w:rsidP="008E7E82"/>
        </w:tc>
        <w:tc>
          <w:tcPr>
            <w:tcW w:w="1217" w:type="dxa"/>
          </w:tcPr>
          <w:p w:rsidR="008E7E82" w:rsidRDefault="008E7E82" w:rsidP="008E7E82">
            <w:pPr>
              <w:jc w:val="center"/>
            </w:pPr>
            <w:r>
              <w:t>3</w:t>
            </w:r>
          </w:p>
        </w:tc>
        <w:tc>
          <w:tcPr>
            <w:tcW w:w="1112" w:type="dxa"/>
          </w:tcPr>
          <w:p w:rsidR="008E7E82" w:rsidRDefault="008E7E82" w:rsidP="008E7E82">
            <w:pPr>
              <w:jc w:val="center"/>
            </w:pPr>
            <w:r>
              <w:t>3</w:t>
            </w:r>
          </w:p>
        </w:tc>
        <w:tc>
          <w:tcPr>
            <w:tcW w:w="860" w:type="dxa"/>
          </w:tcPr>
          <w:p w:rsidR="008E7E82" w:rsidRDefault="008E7E82" w:rsidP="008E7E82">
            <w:pPr>
              <w:jc w:val="center"/>
            </w:pPr>
            <w:r>
              <w:t>9</w:t>
            </w:r>
          </w:p>
        </w:tc>
        <w:tc>
          <w:tcPr>
            <w:tcW w:w="912" w:type="dxa"/>
          </w:tcPr>
          <w:p w:rsidR="008E7E82" w:rsidRDefault="008E7E82" w:rsidP="008E7E82">
            <w:r w:rsidRPr="00FF7067">
              <w:rPr>
                <w:color w:val="FFC000"/>
                <w:sz w:val="28"/>
                <w:szCs w:val="28"/>
              </w:rPr>
              <w:t>▲</w:t>
            </w:r>
          </w:p>
        </w:tc>
      </w:tr>
      <w:tr w:rsidR="008E7E82" w:rsidTr="008E7E82">
        <w:tc>
          <w:tcPr>
            <w:tcW w:w="2458" w:type="dxa"/>
          </w:tcPr>
          <w:p w:rsidR="008E7E82" w:rsidRDefault="008E7E82" w:rsidP="008E7E82">
            <w:r>
              <w:t>Withdrawal of validation arrangements</w:t>
            </w:r>
          </w:p>
        </w:tc>
        <w:tc>
          <w:tcPr>
            <w:tcW w:w="1217" w:type="dxa"/>
          </w:tcPr>
          <w:p w:rsidR="008E7E82" w:rsidRDefault="008E7E82" w:rsidP="008E7E82">
            <w:pPr>
              <w:jc w:val="center"/>
            </w:pPr>
            <w:r>
              <w:t>3</w:t>
            </w:r>
          </w:p>
        </w:tc>
        <w:tc>
          <w:tcPr>
            <w:tcW w:w="1112" w:type="dxa"/>
          </w:tcPr>
          <w:p w:rsidR="008E7E82" w:rsidRDefault="008E7E82" w:rsidP="008E7E82">
            <w:pPr>
              <w:jc w:val="center"/>
            </w:pPr>
            <w:r>
              <w:t>3</w:t>
            </w:r>
          </w:p>
        </w:tc>
        <w:tc>
          <w:tcPr>
            <w:tcW w:w="894" w:type="dxa"/>
          </w:tcPr>
          <w:p w:rsidR="008E7E82" w:rsidRDefault="008E7E82" w:rsidP="008E7E82">
            <w:pPr>
              <w:jc w:val="center"/>
            </w:pPr>
            <w:r>
              <w:t>9</w:t>
            </w:r>
          </w:p>
        </w:tc>
        <w:tc>
          <w:tcPr>
            <w:tcW w:w="2451" w:type="dxa"/>
          </w:tcPr>
          <w:p w:rsidR="008E7E82" w:rsidRDefault="008E7E82" w:rsidP="008E7E82">
            <w:pPr>
              <w:pStyle w:val="ListParagraph"/>
              <w:numPr>
                <w:ilvl w:val="0"/>
                <w:numId w:val="4"/>
              </w:numPr>
              <w:spacing w:after="0" w:line="240" w:lineRule="auto"/>
            </w:pPr>
            <w:r>
              <w:t>Good relationship with validating body</w:t>
            </w:r>
          </w:p>
          <w:p w:rsidR="008E7E82" w:rsidRDefault="008E7E82" w:rsidP="008E7E82">
            <w:pPr>
              <w:pStyle w:val="ListParagraph"/>
              <w:numPr>
                <w:ilvl w:val="0"/>
                <w:numId w:val="4"/>
              </w:numPr>
              <w:spacing w:after="0" w:line="240" w:lineRule="auto"/>
            </w:pPr>
            <w:r>
              <w:t xml:space="preserve">Work with validating body on exit arrangements to ensure that students are not affected and are able to complete their programme. </w:t>
            </w:r>
          </w:p>
        </w:tc>
        <w:tc>
          <w:tcPr>
            <w:tcW w:w="1217" w:type="dxa"/>
          </w:tcPr>
          <w:p w:rsidR="008E7E82" w:rsidRDefault="008E7E82" w:rsidP="008E7E82">
            <w:pPr>
              <w:jc w:val="center"/>
            </w:pPr>
            <w:r>
              <w:t>1</w:t>
            </w:r>
          </w:p>
        </w:tc>
        <w:tc>
          <w:tcPr>
            <w:tcW w:w="1112" w:type="dxa"/>
          </w:tcPr>
          <w:p w:rsidR="008E7E82" w:rsidRDefault="008E7E82" w:rsidP="008E7E82">
            <w:pPr>
              <w:jc w:val="center"/>
            </w:pPr>
            <w:r>
              <w:t>1</w:t>
            </w:r>
          </w:p>
        </w:tc>
        <w:tc>
          <w:tcPr>
            <w:tcW w:w="860" w:type="dxa"/>
          </w:tcPr>
          <w:p w:rsidR="008E7E82" w:rsidRDefault="008E7E82" w:rsidP="008E7E82">
            <w:pPr>
              <w:jc w:val="center"/>
            </w:pPr>
            <w:r>
              <w:t>1</w:t>
            </w:r>
          </w:p>
        </w:tc>
        <w:tc>
          <w:tcPr>
            <w:tcW w:w="912" w:type="dxa"/>
          </w:tcPr>
          <w:p w:rsidR="008E7E82" w:rsidRDefault="008E7E82" w:rsidP="008E7E82">
            <w:pPr>
              <w:rPr>
                <w:noProof/>
                <w:lang w:eastAsia="en-GB"/>
              </w:rPr>
            </w:pPr>
            <w:r w:rsidRPr="00FF7067">
              <w:rPr>
                <w:color w:val="00B050"/>
                <w:sz w:val="36"/>
                <w:szCs w:val="36"/>
              </w:rPr>
              <w:t>●</w:t>
            </w:r>
          </w:p>
        </w:tc>
      </w:tr>
      <w:tr w:rsidR="008E7E82" w:rsidTr="008E7E82">
        <w:tc>
          <w:tcPr>
            <w:tcW w:w="2458" w:type="dxa"/>
          </w:tcPr>
          <w:p w:rsidR="008E7E82" w:rsidRDefault="008E7E82" w:rsidP="008E7E82">
            <w:r>
              <w:t>Campus Closure</w:t>
            </w:r>
          </w:p>
        </w:tc>
        <w:tc>
          <w:tcPr>
            <w:tcW w:w="1217" w:type="dxa"/>
          </w:tcPr>
          <w:p w:rsidR="008E7E82" w:rsidRDefault="008E7E82" w:rsidP="008E7E82">
            <w:pPr>
              <w:jc w:val="center"/>
            </w:pPr>
            <w:r>
              <w:t>2</w:t>
            </w:r>
          </w:p>
        </w:tc>
        <w:tc>
          <w:tcPr>
            <w:tcW w:w="1112" w:type="dxa"/>
          </w:tcPr>
          <w:p w:rsidR="008E7E82" w:rsidRDefault="008E7E82" w:rsidP="008E7E82">
            <w:pPr>
              <w:jc w:val="center"/>
            </w:pPr>
            <w:r>
              <w:t>2</w:t>
            </w:r>
          </w:p>
        </w:tc>
        <w:tc>
          <w:tcPr>
            <w:tcW w:w="894" w:type="dxa"/>
          </w:tcPr>
          <w:p w:rsidR="008E7E82" w:rsidRDefault="008E7E82" w:rsidP="008E7E82">
            <w:pPr>
              <w:jc w:val="center"/>
            </w:pPr>
            <w:r>
              <w:t>4</w:t>
            </w:r>
          </w:p>
        </w:tc>
        <w:tc>
          <w:tcPr>
            <w:tcW w:w="2451" w:type="dxa"/>
          </w:tcPr>
          <w:p w:rsidR="008E7E82" w:rsidRDefault="008E7E82" w:rsidP="008E7E82">
            <w:pPr>
              <w:pStyle w:val="ListParagraph"/>
              <w:numPr>
                <w:ilvl w:val="0"/>
                <w:numId w:val="5"/>
              </w:numPr>
              <w:spacing w:after="0" w:line="240" w:lineRule="auto"/>
            </w:pPr>
            <w:r>
              <w:t>Property strategy in place to ensure that any move is well planned and students consulted.</w:t>
            </w:r>
          </w:p>
          <w:p w:rsidR="008E7E82" w:rsidRDefault="008E7E82" w:rsidP="008E7E82">
            <w:pPr>
              <w:pStyle w:val="ListParagraph"/>
              <w:numPr>
                <w:ilvl w:val="0"/>
                <w:numId w:val="5"/>
              </w:numPr>
              <w:spacing w:after="0" w:line="240" w:lineRule="auto"/>
            </w:pPr>
            <w:r>
              <w:t>Consideration of impact for the different needs, characteristics and circumstances of students.</w:t>
            </w:r>
          </w:p>
          <w:p w:rsidR="008E7E82" w:rsidRDefault="008E7E82" w:rsidP="008E7E82"/>
        </w:tc>
        <w:tc>
          <w:tcPr>
            <w:tcW w:w="1217" w:type="dxa"/>
          </w:tcPr>
          <w:p w:rsidR="008E7E82" w:rsidRDefault="008E7E82" w:rsidP="008E7E82">
            <w:pPr>
              <w:jc w:val="center"/>
            </w:pPr>
            <w:r>
              <w:t>3</w:t>
            </w:r>
          </w:p>
        </w:tc>
        <w:tc>
          <w:tcPr>
            <w:tcW w:w="1112" w:type="dxa"/>
          </w:tcPr>
          <w:p w:rsidR="008E7E82" w:rsidRDefault="008E7E82" w:rsidP="008E7E82">
            <w:pPr>
              <w:jc w:val="center"/>
            </w:pPr>
            <w:r>
              <w:t>2</w:t>
            </w:r>
          </w:p>
        </w:tc>
        <w:tc>
          <w:tcPr>
            <w:tcW w:w="860" w:type="dxa"/>
          </w:tcPr>
          <w:p w:rsidR="008E7E82" w:rsidRDefault="008E7E82" w:rsidP="008E7E82">
            <w:pPr>
              <w:jc w:val="center"/>
            </w:pPr>
            <w:r>
              <w:t>6</w:t>
            </w:r>
          </w:p>
        </w:tc>
        <w:tc>
          <w:tcPr>
            <w:tcW w:w="912" w:type="dxa"/>
          </w:tcPr>
          <w:p w:rsidR="008E7E82" w:rsidRDefault="008E7E82" w:rsidP="008E7E82">
            <w:pPr>
              <w:rPr>
                <w:noProof/>
                <w:lang w:eastAsia="en-GB"/>
              </w:rPr>
            </w:pPr>
            <w:r w:rsidRPr="00FF7067">
              <w:rPr>
                <w:color w:val="FFC000"/>
                <w:sz w:val="28"/>
                <w:szCs w:val="28"/>
              </w:rPr>
              <w:t>▲</w:t>
            </w:r>
          </w:p>
        </w:tc>
      </w:tr>
      <w:tr w:rsidR="008E7E82" w:rsidTr="008E7E82">
        <w:tc>
          <w:tcPr>
            <w:tcW w:w="2458" w:type="dxa"/>
          </w:tcPr>
          <w:p w:rsidR="008E7E82" w:rsidRDefault="008E7E82" w:rsidP="008E7E82">
            <w:r>
              <w:t>Institutional Closure</w:t>
            </w:r>
          </w:p>
        </w:tc>
        <w:tc>
          <w:tcPr>
            <w:tcW w:w="1217" w:type="dxa"/>
          </w:tcPr>
          <w:p w:rsidR="008E7E82" w:rsidRDefault="008E7E82" w:rsidP="008E7E82">
            <w:pPr>
              <w:jc w:val="center"/>
            </w:pPr>
            <w:r>
              <w:t>1</w:t>
            </w:r>
          </w:p>
        </w:tc>
        <w:tc>
          <w:tcPr>
            <w:tcW w:w="1112" w:type="dxa"/>
          </w:tcPr>
          <w:p w:rsidR="008E7E82" w:rsidRDefault="008E7E82" w:rsidP="008E7E82">
            <w:pPr>
              <w:jc w:val="center"/>
            </w:pPr>
            <w:r>
              <w:t>5</w:t>
            </w:r>
          </w:p>
        </w:tc>
        <w:tc>
          <w:tcPr>
            <w:tcW w:w="894" w:type="dxa"/>
          </w:tcPr>
          <w:p w:rsidR="008E7E82" w:rsidRDefault="008E7E82" w:rsidP="008E7E82">
            <w:pPr>
              <w:jc w:val="center"/>
            </w:pPr>
            <w:r>
              <w:t>5</w:t>
            </w:r>
          </w:p>
        </w:tc>
        <w:tc>
          <w:tcPr>
            <w:tcW w:w="2451" w:type="dxa"/>
          </w:tcPr>
          <w:p w:rsidR="008E7E82" w:rsidRDefault="008E7E82" w:rsidP="008E7E82">
            <w:pPr>
              <w:pStyle w:val="ListParagraph"/>
              <w:numPr>
                <w:ilvl w:val="0"/>
                <w:numId w:val="7"/>
              </w:numPr>
              <w:spacing w:after="0" w:line="240" w:lineRule="auto"/>
            </w:pPr>
            <w:r>
              <w:t xml:space="preserve"> Thorough risk management</w:t>
            </w:r>
          </w:p>
          <w:p w:rsidR="008E7E82" w:rsidRDefault="008E7E82" w:rsidP="008E7E82">
            <w:pPr>
              <w:pStyle w:val="ListParagraph"/>
              <w:numPr>
                <w:ilvl w:val="0"/>
                <w:numId w:val="7"/>
              </w:numPr>
              <w:spacing w:after="0" w:line="240" w:lineRule="auto"/>
            </w:pPr>
            <w:r>
              <w:t>Business Planning and performance reviews ensure viability of institution.</w:t>
            </w:r>
          </w:p>
          <w:p w:rsidR="008E7E82" w:rsidRDefault="008E7E82" w:rsidP="008E7E82">
            <w:pPr>
              <w:pStyle w:val="ListParagraph"/>
              <w:numPr>
                <w:ilvl w:val="0"/>
                <w:numId w:val="7"/>
              </w:numPr>
              <w:spacing w:after="0" w:line="240" w:lineRule="auto"/>
            </w:pPr>
            <w:r>
              <w:t>Liaison with other providers to secure places for students.</w:t>
            </w:r>
          </w:p>
        </w:tc>
        <w:tc>
          <w:tcPr>
            <w:tcW w:w="1217" w:type="dxa"/>
          </w:tcPr>
          <w:p w:rsidR="008E7E82" w:rsidRDefault="008E7E82" w:rsidP="008E7E82">
            <w:pPr>
              <w:jc w:val="center"/>
            </w:pPr>
            <w:r>
              <w:t>1</w:t>
            </w:r>
          </w:p>
        </w:tc>
        <w:tc>
          <w:tcPr>
            <w:tcW w:w="1112" w:type="dxa"/>
          </w:tcPr>
          <w:p w:rsidR="008E7E82" w:rsidRDefault="008E7E82" w:rsidP="008E7E82">
            <w:pPr>
              <w:jc w:val="center"/>
            </w:pPr>
            <w:r>
              <w:t>5</w:t>
            </w:r>
          </w:p>
        </w:tc>
        <w:tc>
          <w:tcPr>
            <w:tcW w:w="860" w:type="dxa"/>
          </w:tcPr>
          <w:p w:rsidR="008E7E82" w:rsidRDefault="008E7E82" w:rsidP="008E7E82">
            <w:pPr>
              <w:jc w:val="center"/>
            </w:pPr>
            <w:r>
              <w:t>5</w:t>
            </w:r>
          </w:p>
        </w:tc>
        <w:tc>
          <w:tcPr>
            <w:tcW w:w="912" w:type="dxa"/>
          </w:tcPr>
          <w:p w:rsidR="008E7E82" w:rsidRDefault="008E7E82" w:rsidP="008E7E82">
            <w:pPr>
              <w:rPr>
                <w:noProof/>
                <w:lang w:eastAsia="en-GB"/>
              </w:rPr>
            </w:pPr>
            <w:r w:rsidRPr="00FF7067">
              <w:rPr>
                <w:color w:val="00B050"/>
                <w:sz w:val="36"/>
                <w:szCs w:val="36"/>
              </w:rPr>
              <w:t>●</w:t>
            </w:r>
          </w:p>
        </w:tc>
      </w:tr>
      <w:tr w:rsidR="008E7E82" w:rsidTr="008E7E82">
        <w:tc>
          <w:tcPr>
            <w:tcW w:w="2458" w:type="dxa"/>
          </w:tcPr>
          <w:p w:rsidR="008E7E82" w:rsidRDefault="008E7E82" w:rsidP="008E7E82">
            <w:r>
              <w:t>IT failure</w:t>
            </w:r>
          </w:p>
          <w:p w:rsidR="008E7E82" w:rsidRDefault="008E7E82" w:rsidP="008E7E82">
            <w:r>
              <w:t xml:space="preserve">The response will depend upon the nature of the problem.  Planned disruptions due to upgrades/ maintenance will be </w:t>
            </w:r>
          </w:p>
        </w:tc>
        <w:tc>
          <w:tcPr>
            <w:tcW w:w="1217" w:type="dxa"/>
          </w:tcPr>
          <w:p w:rsidR="008E7E82" w:rsidRDefault="008E7E82" w:rsidP="008E7E82">
            <w:pPr>
              <w:jc w:val="center"/>
            </w:pPr>
            <w:r>
              <w:t>2</w:t>
            </w:r>
          </w:p>
        </w:tc>
        <w:tc>
          <w:tcPr>
            <w:tcW w:w="1112" w:type="dxa"/>
          </w:tcPr>
          <w:p w:rsidR="008E7E82" w:rsidRDefault="008E7E82" w:rsidP="008E7E82">
            <w:pPr>
              <w:jc w:val="center"/>
            </w:pPr>
            <w:r>
              <w:t>2</w:t>
            </w:r>
          </w:p>
        </w:tc>
        <w:tc>
          <w:tcPr>
            <w:tcW w:w="894" w:type="dxa"/>
          </w:tcPr>
          <w:p w:rsidR="008E7E82" w:rsidRDefault="008E7E82" w:rsidP="008E7E82">
            <w:pPr>
              <w:jc w:val="center"/>
            </w:pPr>
            <w:r>
              <w:t>4</w:t>
            </w:r>
          </w:p>
        </w:tc>
        <w:tc>
          <w:tcPr>
            <w:tcW w:w="2451" w:type="dxa"/>
          </w:tcPr>
          <w:p w:rsidR="008E7E82" w:rsidRDefault="008E7E82" w:rsidP="008E7E82">
            <w:r>
              <w:t>1.Planned disruption due to upgrades/ maintenance will be scheduled for holiday periods to minimise disruption</w:t>
            </w:r>
          </w:p>
          <w:p w:rsidR="008E7E82" w:rsidRDefault="008E7E82" w:rsidP="008E7E82">
            <w:r>
              <w:t>2. Minimal disruption to delivery due to alternative methods being available.</w:t>
            </w:r>
          </w:p>
          <w:p w:rsidR="008E7E82" w:rsidRDefault="008E7E82" w:rsidP="008E7E82">
            <w:r>
              <w:t>3.  Disaster recovery plan in place to minimise impact</w:t>
            </w:r>
          </w:p>
          <w:p w:rsidR="008E7E82" w:rsidRDefault="008E7E82" w:rsidP="008E7E82">
            <w:r>
              <w:t>4. Duplicate systems at each campus to enable IT systems to continue to function if there is a malfunction of any kind.</w:t>
            </w:r>
          </w:p>
          <w:p w:rsidR="008E7E82" w:rsidRDefault="008E7E82" w:rsidP="008E7E82">
            <w:r>
              <w:t>5. Measures for individual students would be considered according to their needs, characteristics and circumstances.</w:t>
            </w:r>
          </w:p>
        </w:tc>
        <w:tc>
          <w:tcPr>
            <w:tcW w:w="1217" w:type="dxa"/>
          </w:tcPr>
          <w:p w:rsidR="008E7E82" w:rsidRDefault="008E7E82" w:rsidP="008E7E82">
            <w:pPr>
              <w:jc w:val="center"/>
            </w:pPr>
            <w:r>
              <w:t>2</w:t>
            </w:r>
          </w:p>
        </w:tc>
        <w:tc>
          <w:tcPr>
            <w:tcW w:w="1112" w:type="dxa"/>
          </w:tcPr>
          <w:p w:rsidR="008E7E82" w:rsidRDefault="008E7E82" w:rsidP="008E7E82">
            <w:pPr>
              <w:jc w:val="center"/>
            </w:pPr>
            <w:r>
              <w:t>2</w:t>
            </w:r>
          </w:p>
        </w:tc>
        <w:tc>
          <w:tcPr>
            <w:tcW w:w="860" w:type="dxa"/>
          </w:tcPr>
          <w:p w:rsidR="008E7E82" w:rsidRDefault="008E7E82" w:rsidP="008E7E82">
            <w:pPr>
              <w:jc w:val="center"/>
            </w:pPr>
            <w:r>
              <w:t>4</w:t>
            </w:r>
          </w:p>
        </w:tc>
        <w:tc>
          <w:tcPr>
            <w:tcW w:w="912" w:type="dxa"/>
          </w:tcPr>
          <w:p w:rsidR="008E7E82" w:rsidRDefault="008E7E82" w:rsidP="008E7E82">
            <w:pPr>
              <w:rPr>
                <w:noProof/>
                <w:lang w:eastAsia="en-GB"/>
              </w:rPr>
            </w:pPr>
            <w:r w:rsidRPr="00FF7067">
              <w:rPr>
                <w:color w:val="00B050"/>
                <w:sz w:val="36"/>
                <w:szCs w:val="36"/>
              </w:rPr>
              <w:t>●</w:t>
            </w:r>
          </w:p>
        </w:tc>
      </w:tr>
    </w:tbl>
    <w:p w:rsidR="008E7E82" w:rsidRDefault="008E7E82" w:rsidP="008E7E82"/>
    <w:p w:rsidR="008E7E82" w:rsidRPr="003D73C5" w:rsidRDefault="008E7E82" w:rsidP="008E7E82"/>
    <w:p w:rsidR="008E7E82" w:rsidRPr="003D73C5" w:rsidRDefault="008E7E82" w:rsidP="008E7E82"/>
    <w:p w:rsidR="008E7E82" w:rsidRPr="003D73C5" w:rsidRDefault="008E7E82" w:rsidP="008E7E82"/>
    <w:p w:rsidR="008E7E82" w:rsidRPr="003D73C5" w:rsidRDefault="008E7E82" w:rsidP="008E7E82"/>
    <w:p w:rsidR="008E7E82" w:rsidRPr="003D73C5" w:rsidRDefault="008E7E82" w:rsidP="008E7E82"/>
    <w:p w:rsidR="008E7E82" w:rsidRPr="003D73C5" w:rsidRDefault="008E7E82" w:rsidP="008E7E82"/>
    <w:p w:rsidR="008E7E82" w:rsidRPr="003D73C5" w:rsidRDefault="008E7E82" w:rsidP="008E7E82"/>
    <w:p w:rsidR="008E7E82" w:rsidRPr="003D73C5" w:rsidRDefault="008E7E82" w:rsidP="008E7E82"/>
    <w:p w:rsidR="008E7E82" w:rsidRDefault="008E7E82" w:rsidP="008E7E82"/>
    <w:tbl>
      <w:tblPr>
        <w:tblStyle w:val="TableGrid"/>
        <w:tblW w:w="141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9" w:type="dxa"/>
          <w:right w:w="49" w:type="dxa"/>
        </w:tblCellMar>
        <w:tblLook w:val="04A0" w:firstRow="1" w:lastRow="0" w:firstColumn="1" w:lastColumn="0" w:noHBand="0" w:noVBand="1"/>
      </w:tblPr>
      <w:tblGrid>
        <w:gridCol w:w="14170"/>
      </w:tblGrid>
      <w:tr w:rsidR="008E7E82" w:rsidTr="008E7E82">
        <w:tc>
          <w:tcPr>
            <w:tcW w:w="3977" w:type="dxa"/>
          </w:tcPr>
          <w:p w:rsidR="008E7E82" w:rsidRDefault="008E7E82" w:rsidP="008E7E82">
            <w:pPr>
              <w:pStyle w:val="TableText"/>
            </w:pPr>
            <w:r>
              <w:t xml:space="preserve">        Traffic light is based on the Net Risk score, that is:</w:t>
            </w:r>
          </w:p>
        </w:tc>
      </w:tr>
      <w:tr w:rsidR="008E7E82" w:rsidTr="008E7E82">
        <w:tc>
          <w:tcPr>
            <w:tcW w:w="3977" w:type="dxa"/>
          </w:tcPr>
          <w:p w:rsidR="008E7E82" w:rsidRDefault="008E7E82" w:rsidP="008E7E82">
            <w:r w:rsidRPr="00FF7067">
              <w:rPr>
                <w:color w:val="00B050"/>
                <w:sz w:val="36"/>
                <w:szCs w:val="36"/>
              </w:rPr>
              <w:t>●</w:t>
            </w:r>
            <w:r>
              <w:rPr>
                <w:color w:val="00B050"/>
                <w:sz w:val="36"/>
                <w:szCs w:val="36"/>
              </w:rPr>
              <w:t xml:space="preserve"> </w:t>
            </w:r>
            <w:r w:rsidRPr="00FF7067">
              <w:t>1-5 (Acceptable risk</w:t>
            </w:r>
            <w:r>
              <w:t>)</w:t>
            </w:r>
          </w:p>
        </w:tc>
      </w:tr>
      <w:tr w:rsidR="008E7E82" w:rsidRPr="008849F0" w:rsidTr="008E7E82">
        <w:tc>
          <w:tcPr>
            <w:tcW w:w="3977" w:type="dxa"/>
          </w:tcPr>
          <w:p w:rsidR="008E7E82" w:rsidRPr="008849F0" w:rsidRDefault="008E7E82" w:rsidP="008E7E82">
            <w:pPr>
              <w:ind w:firstLine="426"/>
            </w:pPr>
            <w:r w:rsidRPr="00FF7067">
              <w:rPr>
                <w:color w:val="FFC000"/>
                <w:sz w:val="28"/>
                <w:szCs w:val="28"/>
              </w:rPr>
              <w:t>▲</w:t>
            </w:r>
            <w:r>
              <w:rPr>
                <w:color w:val="FFC000"/>
                <w:sz w:val="28"/>
                <w:szCs w:val="28"/>
              </w:rPr>
              <w:t xml:space="preserve"> </w:t>
            </w:r>
            <w:r w:rsidRPr="00FF7067">
              <w:t>6-12 (Acceptable risk, but requires close monitoring)</w:t>
            </w:r>
          </w:p>
        </w:tc>
      </w:tr>
      <w:tr w:rsidR="008E7E82" w:rsidRPr="00FF7067" w:rsidTr="008E7E82">
        <w:tc>
          <w:tcPr>
            <w:tcW w:w="3977" w:type="dxa"/>
          </w:tcPr>
          <w:p w:rsidR="008E7E82" w:rsidRPr="00FF7067" w:rsidRDefault="008E7E82" w:rsidP="008E7E82">
            <w:pPr>
              <w:ind w:firstLine="426"/>
              <w:rPr>
                <w:color w:val="FFC000"/>
                <w:sz w:val="28"/>
                <w:szCs w:val="28"/>
              </w:rPr>
            </w:pPr>
            <w:r w:rsidRPr="00FF7067">
              <w:rPr>
                <w:color w:val="FF0000"/>
                <w:sz w:val="36"/>
                <w:szCs w:val="36"/>
              </w:rPr>
              <w:t>■</w:t>
            </w:r>
            <w:r w:rsidRPr="00FF7067">
              <w:rPr>
                <w:sz w:val="36"/>
                <w:szCs w:val="36"/>
              </w:rPr>
              <w:t xml:space="preserve"> </w:t>
            </w:r>
            <w:r w:rsidRPr="00FF7067">
              <w:t>13 and above (no</w:t>
            </w:r>
            <w:r>
              <w:t>t</w:t>
            </w:r>
            <w:r w:rsidRPr="00FF7067">
              <w:t xml:space="preserve"> acceptable, as above risk appetite or where risk is unknown)</w:t>
            </w:r>
          </w:p>
        </w:tc>
      </w:tr>
    </w:tbl>
    <w:p w:rsidR="008E7E82" w:rsidRPr="00A67C35" w:rsidRDefault="008E7E82" w:rsidP="00801814">
      <w:pPr>
        <w:pStyle w:val="Default"/>
        <w:rPr>
          <w:rFonts w:ascii="Arial" w:hAnsi="Arial" w:cs="Arial"/>
          <w:color w:val="auto"/>
          <w:sz w:val="22"/>
          <w:szCs w:val="22"/>
        </w:rPr>
      </w:pPr>
    </w:p>
    <w:sectPr w:rsidR="008E7E82" w:rsidRPr="00A67C35" w:rsidSect="008E7E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02E"/>
    <w:multiLevelType w:val="hybridMultilevel"/>
    <w:tmpl w:val="23FCD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6440E"/>
    <w:multiLevelType w:val="hybridMultilevel"/>
    <w:tmpl w:val="1DDC0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423477"/>
    <w:multiLevelType w:val="hybridMultilevel"/>
    <w:tmpl w:val="44946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5476E"/>
    <w:multiLevelType w:val="hybridMultilevel"/>
    <w:tmpl w:val="C6A8A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C36F64"/>
    <w:multiLevelType w:val="hybridMultilevel"/>
    <w:tmpl w:val="381C14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971A5"/>
    <w:multiLevelType w:val="hybridMultilevel"/>
    <w:tmpl w:val="C3A88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5857A6"/>
    <w:multiLevelType w:val="hybridMultilevel"/>
    <w:tmpl w:val="68F0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14"/>
    <w:rsid w:val="001372E5"/>
    <w:rsid w:val="001E083E"/>
    <w:rsid w:val="00214BFA"/>
    <w:rsid w:val="00491EB2"/>
    <w:rsid w:val="0051433A"/>
    <w:rsid w:val="00542834"/>
    <w:rsid w:val="005D51B0"/>
    <w:rsid w:val="00630EE3"/>
    <w:rsid w:val="0065303C"/>
    <w:rsid w:val="0067083D"/>
    <w:rsid w:val="006A03CE"/>
    <w:rsid w:val="006B2E42"/>
    <w:rsid w:val="00701546"/>
    <w:rsid w:val="007702D3"/>
    <w:rsid w:val="007A161E"/>
    <w:rsid w:val="00801814"/>
    <w:rsid w:val="00857C0B"/>
    <w:rsid w:val="008E7E82"/>
    <w:rsid w:val="00972B8A"/>
    <w:rsid w:val="009B31B6"/>
    <w:rsid w:val="00A0707D"/>
    <w:rsid w:val="00A31513"/>
    <w:rsid w:val="00A67C35"/>
    <w:rsid w:val="00BE579E"/>
    <w:rsid w:val="00D05C34"/>
    <w:rsid w:val="00DC01D9"/>
    <w:rsid w:val="00DC0D5A"/>
    <w:rsid w:val="00EE7128"/>
    <w:rsid w:val="00F312D5"/>
    <w:rsid w:val="00FA131D"/>
    <w:rsid w:val="00FA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C406"/>
  <w15:chartTrackingRefBased/>
  <w15:docId w15:val="{8D300CAF-5421-4FA8-BA85-281E214F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814"/>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65303C"/>
    <w:rPr>
      <w:sz w:val="16"/>
      <w:szCs w:val="16"/>
    </w:rPr>
  </w:style>
  <w:style w:type="paragraph" w:styleId="CommentText">
    <w:name w:val="annotation text"/>
    <w:basedOn w:val="Normal"/>
    <w:link w:val="CommentTextChar"/>
    <w:uiPriority w:val="99"/>
    <w:semiHidden/>
    <w:unhideWhenUsed/>
    <w:rsid w:val="0065303C"/>
    <w:pPr>
      <w:spacing w:line="240" w:lineRule="auto"/>
    </w:pPr>
    <w:rPr>
      <w:sz w:val="20"/>
      <w:szCs w:val="20"/>
    </w:rPr>
  </w:style>
  <w:style w:type="character" w:customStyle="1" w:styleId="CommentTextChar">
    <w:name w:val="Comment Text Char"/>
    <w:basedOn w:val="DefaultParagraphFont"/>
    <w:link w:val="CommentText"/>
    <w:uiPriority w:val="99"/>
    <w:semiHidden/>
    <w:rsid w:val="0065303C"/>
    <w:rPr>
      <w:sz w:val="20"/>
      <w:szCs w:val="20"/>
    </w:rPr>
  </w:style>
  <w:style w:type="paragraph" w:styleId="CommentSubject">
    <w:name w:val="annotation subject"/>
    <w:basedOn w:val="CommentText"/>
    <w:next w:val="CommentText"/>
    <w:link w:val="CommentSubjectChar"/>
    <w:uiPriority w:val="99"/>
    <w:semiHidden/>
    <w:unhideWhenUsed/>
    <w:rsid w:val="0065303C"/>
    <w:rPr>
      <w:b/>
      <w:bCs/>
    </w:rPr>
  </w:style>
  <w:style w:type="character" w:customStyle="1" w:styleId="CommentSubjectChar">
    <w:name w:val="Comment Subject Char"/>
    <w:basedOn w:val="CommentTextChar"/>
    <w:link w:val="CommentSubject"/>
    <w:uiPriority w:val="99"/>
    <w:semiHidden/>
    <w:rsid w:val="0065303C"/>
    <w:rPr>
      <w:b/>
      <w:bCs/>
      <w:sz w:val="20"/>
      <w:szCs w:val="20"/>
    </w:rPr>
  </w:style>
  <w:style w:type="paragraph" w:styleId="BalloonText">
    <w:name w:val="Balloon Text"/>
    <w:basedOn w:val="Normal"/>
    <w:link w:val="BalloonTextChar"/>
    <w:uiPriority w:val="99"/>
    <w:semiHidden/>
    <w:unhideWhenUsed/>
    <w:rsid w:val="00653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03C"/>
    <w:rPr>
      <w:rFonts w:ascii="Segoe UI" w:hAnsi="Segoe UI" w:cs="Segoe UI"/>
      <w:sz w:val="18"/>
      <w:szCs w:val="18"/>
    </w:rPr>
  </w:style>
  <w:style w:type="table" w:styleId="TableGrid">
    <w:name w:val="Table Grid"/>
    <w:basedOn w:val="TableNormal"/>
    <w:rsid w:val="008E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E82"/>
    <w:pPr>
      <w:ind w:left="720"/>
      <w:contextualSpacing/>
    </w:pPr>
  </w:style>
  <w:style w:type="paragraph" w:customStyle="1" w:styleId="TableText">
    <w:name w:val="Table Text"/>
    <w:basedOn w:val="Normal"/>
    <w:qFormat/>
    <w:rsid w:val="008E7E82"/>
    <w:pPr>
      <w:spacing w:after="0" w:line="240" w:lineRule="auto"/>
    </w:pPr>
    <w:rPr>
      <w:rFonts w:ascii="Arial" w:eastAsia="Times New Roman" w:hAnsi="Arial" w:cs="Arial"/>
      <w:lang w:eastAsia="en-GB"/>
    </w:rPr>
  </w:style>
  <w:style w:type="character" w:styleId="Hyperlink">
    <w:name w:val="Hyperlink"/>
    <w:basedOn w:val="DefaultParagraphFont"/>
    <w:uiPriority w:val="99"/>
    <w:unhideWhenUsed/>
    <w:rsid w:val="00A31513"/>
    <w:rPr>
      <w:color w:val="0563C1" w:themeColor="hyperlink"/>
      <w:u w:val="single"/>
    </w:rPr>
  </w:style>
  <w:style w:type="character" w:styleId="FollowedHyperlink">
    <w:name w:val="FollowedHyperlink"/>
    <w:basedOn w:val="DefaultParagraphFont"/>
    <w:uiPriority w:val="99"/>
    <w:semiHidden/>
    <w:unhideWhenUsed/>
    <w:rsid w:val="00A31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011">
      <w:bodyDiv w:val="1"/>
      <w:marLeft w:val="0"/>
      <w:marRight w:val="0"/>
      <w:marTop w:val="0"/>
      <w:marBottom w:val="0"/>
      <w:divBdr>
        <w:top w:val="none" w:sz="0" w:space="0" w:color="auto"/>
        <w:left w:val="none" w:sz="0" w:space="0" w:color="auto"/>
        <w:bottom w:val="none" w:sz="0" w:space="0" w:color="auto"/>
        <w:right w:val="none" w:sz="0" w:space="0" w:color="auto"/>
      </w:divBdr>
    </w:div>
    <w:div w:id="5832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edscitycollege.ac.uk/media/4487/lcc-higher-education-refund-and-compensation-policy-for-non-continuation-2018-1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edscitycollege.ac.uk/media/3542/terms-and-conditions.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8F67-60F1-4B31-8AD3-98A4A997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Faulkner</dc:creator>
  <cp:keywords/>
  <dc:description/>
  <cp:lastModifiedBy>Janet Faulkner</cp:lastModifiedBy>
  <cp:revision>2</cp:revision>
  <dcterms:created xsi:type="dcterms:W3CDTF">2019-09-27T15:33:00Z</dcterms:created>
  <dcterms:modified xsi:type="dcterms:W3CDTF">2019-09-27T15:33:00Z</dcterms:modified>
</cp:coreProperties>
</file>