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4B" w:rsidRDefault="00B6216C" w:rsidP="00AB244B">
      <w:r w:rsidRPr="00B6216C">
        <w:rPr>
          <w:noProof/>
        </w:rPr>
        <w:drawing>
          <wp:inline distT="0" distB="0" distL="0" distR="0">
            <wp:extent cx="2162175" cy="695325"/>
            <wp:effectExtent l="0" t="0" r="9525" b="9525"/>
            <wp:docPr id="2" name="Picture 2" descr="C:\Inettemp\s.wilson\Cache\Content.Outlook\W6ZTMV2I\UC Corporate 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ttemp\s.wilson\Cache\Content.Outlook\W6ZTMV2I\UC Corporate Logo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inline>
        </w:drawing>
      </w:r>
    </w:p>
    <w:p w:rsidR="00AB244B" w:rsidRDefault="00AB244B" w:rsidP="00AB244B"/>
    <w:p w:rsidR="00AB244B" w:rsidRDefault="00AB244B" w:rsidP="00AB244B"/>
    <w:p w:rsidR="00AB244B" w:rsidRDefault="00AB244B" w:rsidP="00AB244B"/>
    <w:p w:rsidR="00AB244B" w:rsidRDefault="00AB244B" w:rsidP="00AB244B"/>
    <w:p w:rsidR="00AB244B" w:rsidRDefault="00AB244B" w:rsidP="00AB244B"/>
    <w:p w:rsidR="00AB244B" w:rsidRPr="004F24E6" w:rsidRDefault="00AB244B" w:rsidP="00AB244B"/>
    <w:p w:rsidR="00AB244B" w:rsidRPr="0068758D" w:rsidRDefault="00AB244B" w:rsidP="00AB244B">
      <w:pPr>
        <w:pStyle w:val="Heading3"/>
        <w:spacing w:before="0" w:after="0"/>
        <w:rPr>
          <w:color w:val="FF0000"/>
          <w:sz w:val="32"/>
        </w:rPr>
      </w:pPr>
    </w:p>
    <w:p w:rsidR="00AB244B" w:rsidRPr="00545CD8" w:rsidRDefault="0068758D" w:rsidP="00AB244B">
      <w:pPr>
        <w:pStyle w:val="Heading3"/>
        <w:spacing w:before="0" w:after="0"/>
        <w:rPr>
          <w:sz w:val="32"/>
          <w:szCs w:val="32"/>
        </w:rPr>
      </w:pPr>
      <w:smartTag w:uri="urn:schemas-microsoft-com:office:smarttags" w:element="place">
        <w:smartTag w:uri="urn:schemas-microsoft-com:office:smarttags" w:element="PlaceName">
          <w:r w:rsidRPr="00545CD8">
            <w:rPr>
              <w:sz w:val="32"/>
              <w:szCs w:val="32"/>
            </w:rPr>
            <w:t>Leeds</w:t>
          </w:r>
        </w:smartTag>
        <w:r w:rsidRPr="00545CD8">
          <w:rPr>
            <w:sz w:val="32"/>
            <w:szCs w:val="32"/>
          </w:rPr>
          <w:t xml:space="preserve"> </w:t>
        </w:r>
        <w:smartTag w:uri="urn:schemas-microsoft-com:office:smarttags" w:element="PlaceType">
          <w:r w:rsidRPr="00545CD8">
            <w:rPr>
              <w:sz w:val="32"/>
              <w:szCs w:val="32"/>
            </w:rPr>
            <w:t>City</w:t>
          </w:r>
        </w:smartTag>
        <w:r w:rsidR="00AB244B" w:rsidRPr="00545CD8">
          <w:rPr>
            <w:sz w:val="32"/>
            <w:szCs w:val="32"/>
          </w:rPr>
          <w:t xml:space="preserve"> </w:t>
        </w:r>
        <w:smartTag w:uri="urn:schemas-microsoft-com:office:smarttags" w:element="PlaceType">
          <w:r w:rsidR="00AB244B" w:rsidRPr="00545CD8">
            <w:rPr>
              <w:sz w:val="32"/>
              <w:szCs w:val="32"/>
            </w:rPr>
            <w:t>College</w:t>
          </w:r>
        </w:smartTag>
      </w:smartTag>
    </w:p>
    <w:p w:rsidR="00212161" w:rsidRPr="00545CD8" w:rsidRDefault="00212161" w:rsidP="00212161"/>
    <w:p w:rsidR="00AB244B" w:rsidRPr="00545CD8" w:rsidRDefault="00AB244B" w:rsidP="00AB244B">
      <w:pPr>
        <w:tabs>
          <w:tab w:val="left" w:pos="720"/>
        </w:tabs>
        <w:autoSpaceDE w:val="0"/>
        <w:autoSpaceDN w:val="0"/>
        <w:adjustRightInd w:val="0"/>
        <w:spacing w:before="0" w:after="0"/>
        <w:jc w:val="right"/>
        <w:rPr>
          <w:rFonts w:cs="Arial"/>
          <w:b/>
          <w:sz w:val="32"/>
          <w:szCs w:val="32"/>
        </w:rPr>
      </w:pPr>
    </w:p>
    <w:p w:rsidR="0068758D" w:rsidRPr="00545CD8" w:rsidRDefault="00AB244B" w:rsidP="00AB244B">
      <w:pPr>
        <w:pStyle w:val="Heading3"/>
        <w:spacing w:before="0" w:after="0"/>
        <w:rPr>
          <w:sz w:val="32"/>
          <w:szCs w:val="32"/>
        </w:rPr>
      </w:pPr>
      <w:r w:rsidRPr="00545CD8">
        <w:rPr>
          <w:sz w:val="32"/>
          <w:szCs w:val="32"/>
        </w:rPr>
        <w:t xml:space="preserve">Higher Education </w:t>
      </w:r>
    </w:p>
    <w:p w:rsidR="0068758D" w:rsidRPr="00545CD8" w:rsidRDefault="0068758D" w:rsidP="00AB244B">
      <w:pPr>
        <w:pStyle w:val="Heading3"/>
        <w:spacing w:before="0" w:after="0"/>
        <w:rPr>
          <w:sz w:val="32"/>
          <w:szCs w:val="32"/>
        </w:rPr>
      </w:pPr>
    </w:p>
    <w:p w:rsidR="00AB244B" w:rsidRPr="00545CD8" w:rsidRDefault="00B508E1" w:rsidP="00AB244B">
      <w:pPr>
        <w:pStyle w:val="Heading3"/>
        <w:spacing w:before="0" w:after="0"/>
        <w:rPr>
          <w:sz w:val="32"/>
          <w:szCs w:val="32"/>
        </w:rPr>
      </w:pPr>
      <w:r>
        <w:rPr>
          <w:sz w:val="32"/>
          <w:szCs w:val="32"/>
        </w:rPr>
        <w:t xml:space="preserve">Academic Misconduct </w:t>
      </w:r>
      <w:r w:rsidR="00AB244B" w:rsidRPr="00545CD8">
        <w:rPr>
          <w:sz w:val="32"/>
          <w:szCs w:val="32"/>
        </w:rPr>
        <w:t>Policy</w:t>
      </w: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E5BF2" w:rsidRPr="00545CD8" w:rsidRDefault="00AE5BF2" w:rsidP="00AB244B">
      <w:pPr>
        <w:tabs>
          <w:tab w:val="left" w:pos="720"/>
        </w:tabs>
        <w:autoSpaceDE w:val="0"/>
        <w:autoSpaceDN w:val="0"/>
        <w:adjustRightInd w:val="0"/>
        <w:jc w:val="both"/>
        <w:rPr>
          <w:rFonts w:cs="Arial"/>
          <w:b/>
        </w:rPr>
      </w:pPr>
    </w:p>
    <w:p w:rsidR="00AB244B" w:rsidRPr="00545CD8" w:rsidRDefault="00AB244B" w:rsidP="00AB244B">
      <w:pPr>
        <w:tabs>
          <w:tab w:val="left" w:pos="720"/>
        </w:tabs>
        <w:autoSpaceDE w:val="0"/>
        <w:autoSpaceDN w:val="0"/>
        <w:adjustRightInd w:val="0"/>
        <w:jc w:val="both"/>
        <w:rPr>
          <w:rFonts w:cs="Arial"/>
          <w:b/>
        </w:rPr>
      </w:pPr>
    </w:p>
    <w:p w:rsidR="00AB244B" w:rsidRPr="00545CD8" w:rsidRDefault="00AB244B" w:rsidP="00AB244B">
      <w:pPr>
        <w:rPr>
          <w:rFonts w:cs="Arial"/>
        </w:rPr>
      </w:pPr>
      <w:r w:rsidRPr="00545CD8">
        <w:rPr>
          <w:rFonts w:cs="Arial"/>
          <w:b/>
          <w:bCs/>
        </w:rPr>
        <w:t>Owner:</w:t>
      </w:r>
      <w:r w:rsidRPr="00545CD8">
        <w:rPr>
          <w:rFonts w:cs="Arial"/>
        </w:rPr>
        <w:t xml:space="preserve"> </w:t>
      </w:r>
      <w:r w:rsidR="00C01FD8">
        <w:rPr>
          <w:rFonts w:cs="Arial"/>
        </w:rPr>
        <w:t>HEDO</w:t>
      </w:r>
    </w:p>
    <w:p w:rsidR="00AB244B" w:rsidRDefault="000A2907" w:rsidP="00AB244B">
      <w:pPr>
        <w:rPr>
          <w:rFonts w:cs="Arial"/>
        </w:rPr>
      </w:pPr>
      <w:r>
        <w:rPr>
          <w:rFonts w:cs="Arial"/>
          <w:b/>
          <w:bCs/>
        </w:rPr>
        <w:t xml:space="preserve">Date of Production : </w:t>
      </w:r>
      <w:r w:rsidRPr="000A2907">
        <w:rPr>
          <w:rFonts w:cs="Arial"/>
          <w:bCs/>
        </w:rPr>
        <w:t>July 2016</w:t>
      </w:r>
    </w:p>
    <w:p w:rsidR="00AB244B" w:rsidRDefault="00B6216C" w:rsidP="00AB244B">
      <w:pPr>
        <w:rPr>
          <w:rFonts w:cs="Arial"/>
        </w:rPr>
      </w:pPr>
      <w:r>
        <w:rPr>
          <w:rFonts w:cs="Arial"/>
          <w:b/>
          <w:bCs/>
        </w:rPr>
        <w:t>Last</w:t>
      </w:r>
      <w:r w:rsidR="00AB244B" w:rsidRPr="00545CD8">
        <w:rPr>
          <w:rFonts w:cs="Arial"/>
          <w:b/>
          <w:bCs/>
        </w:rPr>
        <w:t xml:space="preserve"> review:</w:t>
      </w:r>
      <w:r w:rsidR="00AB244B" w:rsidRPr="00545CD8">
        <w:rPr>
          <w:rFonts w:cs="Arial"/>
        </w:rPr>
        <w:t xml:space="preserve"> </w:t>
      </w:r>
      <w:r>
        <w:rPr>
          <w:rFonts w:cs="Arial"/>
        </w:rPr>
        <w:t>September 2019</w:t>
      </w:r>
    </w:p>
    <w:p w:rsidR="00B6216C" w:rsidRPr="00545CD8" w:rsidRDefault="00B6216C" w:rsidP="00AB244B">
      <w:pPr>
        <w:rPr>
          <w:rFonts w:cs="Arial"/>
        </w:rPr>
      </w:pPr>
      <w:r w:rsidRPr="00B6216C">
        <w:rPr>
          <w:rFonts w:cs="Arial"/>
          <w:b/>
        </w:rPr>
        <w:t>Next Review</w:t>
      </w:r>
      <w:r>
        <w:rPr>
          <w:rFonts w:cs="Arial"/>
        </w:rPr>
        <w:t>: September 2021</w:t>
      </w:r>
    </w:p>
    <w:p w:rsidR="00AB244B" w:rsidRPr="00545CD8" w:rsidRDefault="00AB244B" w:rsidP="00AB244B">
      <w:r w:rsidRPr="00545CD8">
        <w:rPr>
          <w:b/>
        </w:rPr>
        <w:t>Endorsed by:</w:t>
      </w:r>
      <w:r w:rsidRPr="00545CD8">
        <w:t xml:space="preserve"> </w:t>
      </w:r>
      <w:r w:rsidR="007E086F" w:rsidRPr="00545CD8">
        <w:t xml:space="preserve">HE </w:t>
      </w:r>
      <w:r w:rsidR="00B6216C">
        <w:t xml:space="preserve">PM Meeting, </w:t>
      </w:r>
      <w:r w:rsidR="00247A06">
        <w:t>HE Academic Board</w:t>
      </w:r>
      <w:r w:rsidR="000A2907">
        <w:t xml:space="preserve"> and LCC Policy Panel</w:t>
      </w:r>
    </w:p>
    <w:p w:rsidR="0068758D" w:rsidRPr="00545CD8" w:rsidRDefault="007E086F" w:rsidP="00AB244B">
      <w:pPr>
        <w:sectPr w:rsidR="0068758D" w:rsidRPr="00545CD8">
          <w:footerReference w:type="default" r:id="rId9"/>
          <w:pgSz w:w="11906" w:h="16838" w:code="9"/>
          <w:pgMar w:top="1438" w:right="1287" w:bottom="720" w:left="1622" w:header="709" w:footer="709" w:gutter="0"/>
          <w:cols w:space="708"/>
          <w:docGrid w:linePitch="360"/>
        </w:sectPr>
      </w:pPr>
      <w:r w:rsidRPr="00545CD8">
        <w:t xml:space="preserve">                        </w:t>
      </w:r>
    </w:p>
    <w:p w:rsidR="008C1B3D" w:rsidRPr="00545CD8" w:rsidRDefault="008C1B3D">
      <w:pPr>
        <w:pStyle w:val="BodyText"/>
        <w:jc w:val="left"/>
      </w:pPr>
      <w:r w:rsidRPr="00545CD8">
        <w:lastRenderedPageBreak/>
        <w:t>Scope and Purpose of Policy</w:t>
      </w:r>
      <w:r w:rsidR="006F6769">
        <w:t xml:space="preserve"> </w:t>
      </w:r>
    </w:p>
    <w:p w:rsidR="00B508E1" w:rsidRPr="00545CD8" w:rsidRDefault="008C1B3D">
      <w:r w:rsidRPr="00545CD8">
        <w:t xml:space="preserve">This policy applies to all </w:t>
      </w:r>
      <w:r w:rsidR="00B508E1">
        <w:t xml:space="preserve">Leeds City College </w:t>
      </w:r>
      <w:r w:rsidR="0093374D">
        <w:t>Higher Education</w:t>
      </w:r>
      <w:r w:rsidR="00B508E1">
        <w:t xml:space="preserve"> programmes, and makes clear the College’s expectation regarding conduct in summative assessment, relating specifically to the various forms of Academic Misconduct</w:t>
      </w:r>
      <w:r w:rsidR="00C27D43" w:rsidRPr="00545CD8">
        <w:t xml:space="preserve"> </w:t>
      </w:r>
      <w:r w:rsidR="00B508E1">
        <w:t>defined within this policy.  In short it refers to any attempt made by a student to gain an unfair advantage, whether intentional or unintentional, in summative assessments.</w:t>
      </w:r>
    </w:p>
    <w:p w:rsidR="00503DD6" w:rsidRDefault="00503DD6">
      <w:pPr>
        <w:tabs>
          <w:tab w:val="left" w:pos="720"/>
        </w:tabs>
        <w:autoSpaceDE w:val="0"/>
        <w:autoSpaceDN w:val="0"/>
        <w:adjustRightInd w:val="0"/>
      </w:pPr>
    </w:p>
    <w:p w:rsidR="008C1B3D" w:rsidRPr="00545CD8" w:rsidRDefault="008C1B3D">
      <w:pPr>
        <w:tabs>
          <w:tab w:val="left" w:pos="720"/>
        </w:tabs>
        <w:autoSpaceDE w:val="0"/>
        <w:autoSpaceDN w:val="0"/>
        <w:adjustRightInd w:val="0"/>
      </w:pPr>
      <w:r w:rsidRPr="00545CD8">
        <w:t xml:space="preserve">Its purpose is to ensure that </w:t>
      </w:r>
      <w:r w:rsidR="00B508E1">
        <w:t>students are acting with personal integrity, self-discipline and respect for others in their academic conduct and effectively developing and utilising academic skills commensurate with their level of study.</w:t>
      </w:r>
      <w:r w:rsidRPr="00545CD8">
        <w:t xml:space="preserve"> </w:t>
      </w:r>
      <w:r w:rsidR="00503DD6">
        <w:t>T</w:t>
      </w:r>
      <w:r w:rsidRPr="00545CD8">
        <w:t>h</w:t>
      </w:r>
      <w:r w:rsidR="00503DD6">
        <w:t xml:space="preserve">e Leeds City College Academic Misconduct </w:t>
      </w:r>
      <w:r w:rsidRPr="00545CD8">
        <w:t xml:space="preserve">policy </w:t>
      </w:r>
      <w:r w:rsidR="00503DD6">
        <w:t xml:space="preserve">and its associated procedures </w:t>
      </w:r>
      <w:r w:rsidRPr="00545CD8">
        <w:t xml:space="preserve">are fully informed by the </w:t>
      </w:r>
      <w:r w:rsidR="00B6216C">
        <w:t xml:space="preserve">revised </w:t>
      </w:r>
      <w:r w:rsidRPr="00545CD8">
        <w:t xml:space="preserve">QAA </w:t>
      </w:r>
      <w:r w:rsidR="00247A06">
        <w:t>Quality Code</w:t>
      </w:r>
      <w:r w:rsidR="00503DD6">
        <w:t>, in</w:t>
      </w:r>
      <w:r w:rsidR="006B1E48" w:rsidRPr="00545CD8">
        <w:t xml:space="preserve"> particular </w:t>
      </w:r>
      <w:r w:rsidR="00B6216C">
        <w:t>Advice and Guidance relating to Assessment,</w:t>
      </w:r>
      <w:r w:rsidR="00503DD6">
        <w:t xml:space="preserve"> and should be read in conjunction with the </w:t>
      </w:r>
      <w:r w:rsidR="0067284B">
        <w:t>Leeds City College Foundation Degree Academic Regulations.</w:t>
      </w:r>
    </w:p>
    <w:p w:rsidR="00503DD6" w:rsidRDefault="00503DD6">
      <w:pPr>
        <w:tabs>
          <w:tab w:val="left" w:pos="720"/>
        </w:tabs>
        <w:autoSpaceDE w:val="0"/>
        <w:autoSpaceDN w:val="0"/>
        <w:adjustRightInd w:val="0"/>
      </w:pPr>
    </w:p>
    <w:p w:rsidR="00AB244B" w:rsidRPr="00545CD8" w:rsidRDefault="0068758D">
      <w:pPr>
        <w:tabs>
          <w:tab w:val="left" w:pos="720"/>
        </w:tabs>
        <w:autoSpaceDE w:val="0"/>
        <w:autoSpaceDN w:val="0"/>
        <w:adjustRightInd w:val="0"/>
      </w:pPr>
      <w:r w:rsidRPr="00545CD8">
        <w:t>Assessment measures achievement of the outcomes of learning in terms of knowledge skills and understanding. The purpose of assessment is to:</w:t>
      </w:r>
    </w:p>
    <w:p w:rsidR="00C27D43" w:rsidRPr="00545CD8" w:rsidRDefault="0068758D" w:rsidP="005127E4">
      <w:pPr>
        <w:numPr>
          <w:ilvl w:val="0"/>
          <w:numId w:val="10"/>
        </w:numPr>
        <w:autoSpaceDE w:val="0"/>
        <w:autoSpaceDN w:val="0"/>
        <w:adjustRightInd w:val="0"/>
        <w:spacing w:before="0" w:after="0"/>
        <w:rPr>
          <w:rFonts w:cs="Arial"/>
          <w:szCs w:val="22"/>
        </w:rPr>
      </w:pPr>
      <w:r w:rsidRPr="00545CD8">
        <w:rPr>
          <w:rFonts w:cs="Arial"/>
          <w:szCs w:val="22"/>
        </w:rPr>
        <w:t>determine if a potential student is ready to start a particular course of</w:t>
      </w:r>
      <w:r w:rsidR="00C27D43" w:rsidRPr="00545CD8">
        <w:rPr>
          <w:rFonts w:cs="Arial"/>
          <w:szCs w:val="22"/>
        </w:rPr>
        <w:t xml:space="preserve"> </w:t>
      </w:r>
      <w:r w:rsidRPr="00545CD8">
        <w:rPr>
          <w:rFonts w:cs="Arial"/>
          <w:szCs w:val="22"/>
        </w:rPr>
        <w:t>learning; (diagnostic assessment</w:t>
      </w:r>
      <w:r w:rsidRPr="00FC658C">
        <w:rPr>
          <w:rFonts w:cs="Arial"/>
          <w:szCs w:val="22"/>
        </w:rPr>
        <w:t>)</w:t>
      </w:r>
      <w:r w:rsidR="00B6216C">
        <w:rPr>
          <w:rFonts w:cs="Arial"/>
          <w:szCs w:val="22"/>
        </w:rPr>
        <w:t>;</w:t>
      </w:r>
    </w:p>
    <w:p w:rsidR="0068758D" w:rsidRPr="00545CD8" w:rsidRDefault="0068758D" w:rsidP="005127E4">
      <w:pPr>
        <w:numPr>
          <w:ilvl w:val="0"/>
          <w:numId w:val="10"/>
        </w:numPr>
        <w:autoSpaceDE w:val="0"/>
        <w:autoSpaceDN w:val="0"/>
        <w:adjustRightInd w:val="0"/>
        <w:spacing w:before="0" w:after="0"/>
        <w:rPr>
          <w:rFonts w:cs="Arial"/>
          <w:szCs w:val="22"/>
        </w:rPr>
      </w:pPr>
      <w:r w:rsidRPr="00545CD8">
        <w:rPr>
          <w:rFonts w:cs="Arial"/>
          <w:szCs w:val="22"/>
        </w:rPr>
        <w:t>provide guidance on how well students are progressing (formative</w:t>
      </w:r>
      <w:r w:rsidR="00C27D43" w:rsidRPr="00545CD8">
        <w:rPr>
          <w:rFonts w:cs="Arial"/>
          <w:szCs w:val="22"/>
        </w:rPr>
        <w:t xml:space="preserve"> </w:t>
      </w:r>
      <w:r w:rsidRPr="00545CD8">
        <w:rPr>
          <w:rFonts w:cs="Arial"/>
          <w:szCs w:val="22"/>
        </w:rPr>
        <w:t>assessment)</w:t>
      </w:r>
      <w:r w:rsidR="00FC658C">
        <w:rPr>
          <w:rFonts w:cs="Arial"/>
          <w:szCs w:val="22"/>
        </w:rPr>
        <w:t>;</w:t>
      </w:r>
    </w:p>
    <w:p w:rsidR="0068758D" w:rsidRPr="00B37669" w:rsidRDefault="0068758D" w:rsidP="005127E4">
      <w:pPr>
        <w:numPr>
          <w:ilvl w:val="0"/>
          <w:numId w:val="10"/>
        </w:numPr>
        <w:tabs>
          <w:tab w:val="left" w:pos="720"/>
        </w:tabs>
        <w:autoSpaceDE w:val="0"/>
        <w:autoSpaceDN w:val="0"/>
        <w:adjustRightInd w:val="0"/>
        <w:rPr>
          <w:rFonts w:cs="Arial"/>
          <w:szCs w:val="22"/>
        </w:rPr>
      </w:pPr>
      <w:r w:rsidRPr="00545CD8">
        <w:rPr>
          <w:rFonts w:cs="Arial"/>
          <w:szCs w:val="22"/>
        </w:rPr>
        <w:t xml:space="preserve">determine eligibility for final </w:t>
      </w:r>
      <w:r w:rsidR="00C27D43" w:rsidRPr="00545CD8">
        <w:rPr>
          <w:rFonts w:cs="Arial"/>
          <w:szCs w:val="22"/>
        </w:rPr>
        <w:t xml:space="preserve">grading of module or </w:t>
      </w:r>
      <w:r w:rsidRPr="00545CD8">
        <w:rPr>
          <w:rFonts w:cs="Arial"/>
          <w:szCs w:val="22"/>
        </w:rPr>
        <w:t>awards (summative assessment</w:t>
      </w:r>
      <w:r w:rsidRPr="00FC658C">
        <w:rPr>
          <w:rFonts w:cs="Arial"/>
          <w:szCs w:val="22"/>
        </w:rPr>
        <w:t>)</w:t>
      </w:r>
      <w:r w:rsidR="00FC658C">
        <w:rPr>
          <w:rFonts w:cs="Arial"/>
          <w:szCs w:val="22"/>
        </w:rPr>
        <w:t>;</w:t>
      </w:r>
    </w:p>
    <w:p w:rsidR="00FC658C" w:rsidRPr="00B37669" w:rsidRDefault="00FC658C" w:rsidP="00B37669">
      <w:pPr>
        <w:tabs>
          <w:tab w:val="left" w:pos="720"/>
        </w:tabs>
        <w:autoSpaceDE w:val="0"/>
        <w:autoSpaceDN w:val="0"/>
        <w:adjustRightInd w:val="0"/>
        <w:rPr>
          <w:rFonts w:cs="Arial"/>
          <w:szCs w:val="22"/>
        </w:rPr>
      </w:pPr>
    </w:p>
    <w:p w:rsidR="008C1B3D" w:rsidRPr="00545CD8" w:rsidRDefault="008C1B3D">
      <w:pPr>
        <w:pStyle w:val="Heading4"/>
        <w:tabs>
          <w:tab w:val="left" w:pos="720"/>
        </w:tabs>
        <w:autoSpaceDE w:val="0"/>
        <w:autoSpaceDN w:val="0"/>
        <w:adjustRightInd w:val="0"/>
      </w:pPr>
      <w:r w:rsidRPr="00545CD8">
        <w:t>Policy Statement</w:t>
      </w:r>
    </w:p>
    <w:p w:rsidR="008C1B3D" w:rsidRPr="00545CD8" w:rsidRDefault="008C1B3D">
      <w:r w:rsidRPr="00545CD8">
        <w:t>The College is responsible for the academic standards and quality of the programmes it designs and delivers and is therefore accountable for:</w:t>
      </w:r>
    </w:p>
    <w:p w:rsidR="008C1B3D" w:rsidRDefault="008C1B3D" w:rsidP="005127E4">
      <w:pPr>
        <w:pStyle w:val="BodyTextIndent"/>
        <w:numPr>
          <w:ilvl w:val="0"/>
          <w:numId w:val="6"/>
        </w:numPr>
      </w:pPr>
      <w:r w:rsidRPr="00545CD8">
        <w:t xml:space="preserve">Designing, approving, </w:t>
      </w:r>
      <w:r w:rsidR="0012311E" w:rsidRPr="00545CD8">
        <w:t xml:space="preserve">monitoring </w:t>
      </w:r>
      <w:r w:rsidRPr="00545CD8">
        <w:t xml:space="preserve">and reviewing the assessment strategies for </w:t>
      </w:r>
      <w:r w:rsidR="0068758D" w:rsidRPr="00545CD8">
        <w:t xml:space="preserve">modules </w:t>
      </w:r>
      <w:r w:rsidRPr="00545CD8">
        <w:t>and awards</w:t>
      </w:r>
      <w:r w:rsidR="0052501D" w:rsidRPr="00545CD8">
        <w:t xml:space="preserve"> wherever the learning takes place</w:t>
      </w:r>
      <w:r w:rsidR="00B6216C">
        <w:t xml:space="preserve">, </w:t>
      </w:r>
      <w:r w:rsidR="00B6216C" w:rsidRPr="00B6216C">
        <w:rPr>
          <w:color w:val="FF0000"/>
        </w:rPr>
        <w:t>ensuring that opportunities for plagiarism are minimised through use of a variety of assessment methods</w:t>
      </w:r>
      <w:r w:rsidR="00FC658C">
        <w:t>;</w:t>
      </w:r>
      <w:r w:rsidR="0018149E" w:rsidRPr="00FC658C">
        <w:t xml:space="preserve"> </w:t>
      </w:r>
    </w:p>
    <w:p w:rsidR="00B6216C" w:rsidRPr="00B6216C" w:rsidRDefault="00B6216C" w:rsidP="00B6216C">
      <w:pPr>
        <w:pStyle w:val="BodyTextIndent"/>
        <w:numPr>
          <w:ilvl w:val="0"/>
          <w:numId w:val="6"/>
        </w:numPr>
        <w:rPr>
          <w:color w:val="FF0000"/>
        </w:rPr>
      </w:pPr>
      <w:r w:rsidRPr="00B6216C">
        <w:rPr>
          <w:color w:val="FF0000"/>
        </w:rPr>
        <w:t>Ensuring that students are effectively supported and prepared for assessment</w:t>
      </w:r>
      <w:r>
        <w:rPr>
          <w:color w:val="FF0000"/>
        </w:rPr>
        <w:t>, including the development of academic integrity</w:t>
      </w:r>
      <w:r w:rsidRPr="00B6216C">
        <w:rPr>
          <w:color w:val="FF0000"/>
        </w:rPr>
        <w:t>;</w:t>
      </w:r>
    </w:p>
    <w:p w:rsidR="008C1B3D" w:rsidRPr="00545CD8" w:rsidRDefault="008C1B3D" w:rsidP="005127E4">
      <w:pPr>
        <w:numPr>
          <w:ilvl w:val="0"/>
          <w:numId w:val="6"/>
        </w:numPr>
        <w:tabs>
          <w:tab w:val="left" w:pos="720"/>
        </w:tabs>
        <w:autoSpaceDE w:val="0"/>
        <w:autoSpaceDN w:val="0"/>
        <w:adjustRightInd w:val="0"/>
        <w:rPr>
          <w:rFonts w:cs="Arial"/>
          <w:b/>
        </w:rPr>
      </w:pPr>
      <w:r w:rsidRPr="00545CD8">
        <w:t>The consistent implementation of rigorous assessment practices, which ensure that the academic/professional standard for each award element is set and maintained at the appropriate level</w:t>
      </w:r>
      <w:r w:rsidR="00B6216C">
        <w:t>,</w:t>
      </w:r>
      <w:r w:rsidRPr="00545CD8">
        <w:t xml:space="preserve"> and that student </w:t>
      </w:r>
      <w:r w:rsidR="00B6216C">
        <w:t>performance</w:t>
      </w:r>
      <w:r w:rsidRPr="00545CD8">
        <w:t xml:space="preserve"> </w:t>
      </w:r>
      <w:r w:rsidR="00FC658C">
        <w:t>is properly judged against this;</w:t>
      </w:r>
      <w:r w:rsidR="0018149E" w:rsidRPr="00FC658C">
        <w:t xml:space="preserve"> </w:t>
      </w:r>
    </w:p>
    <w:p w:rsidR="0012311E" w:rsidRPr="00FC658C" w:rsidRDefault="0012311E" w:rsidP="005127E4">
      <w:pPr>
        <w:numPr>
          <w:ilvl w:val="0"/>
          <w:numId w:val="6"/>
        </w:numPr>
        <w:tabs>
          <w:tab w:val="left" w:pos="720"/>
        </w:tabs>
        <w:autoSpaceDE w:val="0"/>
        <w:autoSpaceDN w:val="0"/>
        <w:adjustRightInd w:val="0"/>
        <w:rPr>
          <w:rFonts w:cs="Arial"/>
          <w:b/>
        </w:rPr>
      </w:pPr>
      <w:r w:rsidRPr="00545CD8">
        <w:t>Evaluating how academic standards are maintained through assessment practice that also encourages effective learning</w:t>
      </w:r>
      <w:r w:rsidR="0052501D" w:rsidRPr="00545CD8">
        <w:t xml:space="preserve"> and a high quality learning experience</w:t>
      </w:r>
      <w:r w:rsidR="00FC658C">
        <w:t>;</w:t>
      </w:r>
    </w:p>
    <w:p w:rsidR="008C1B3D" w:rsidRPr="0093374D" w:rsidRDefault="00FC658C" w:rsidP="00351F28">
      <w:pPr>
        <w:numPr>
          <w:ilvl w:val="0"/>
          <w:numId w:val="6"/>
        </w:numPr>
        <w:tabs>
          <w:tab w:val="left" w:pos="720"/>
        </w:tabs>
        <w:autoSpaceDE w:val="0"/>
        <w:autoSpaceDN w:val="0"/>
        <w:adjustRightInd w:val="0"/>
        <w:rPr>
          <w:rFonts w:cs="Arial"/>
          <w:b/>
        </w:rPr>
      </w:pPr>
      <w:r>
        <w:t>Ensuring that External Examiner feedback is utilised effectively to inform future practice and enhanceme</w:t>
      </w:r>
      <w:r w:rsidR="00B6216C">
        <w:t>nts to processes;</w:t>
      </w:r>
    </w:p>
    <w:p w:rsidR="00503DD6" w:rsidRPr="00351F28" w:rsidRDefault="00503DD6" w:rsidP="00503DD6">
      <w:pPr>
        <w:tabs>
          <w:tab w:val="left" w:pos="720"/>
        </w:tabs>
        <w:autoSpaceDE w:val="0"/>
        <w:autoSpaceDN w:val="0"/>
        <w:adjustRightInd w:val="0"/>
        <w:rPr>
          <w:rFonts w:cs="Arial"/>
          <w:b/>
        </w:rPr>
      </w:pPr>
    </w:p>
    <w:tbl>
      <w:tblPr>
        <w:tblW w:w="954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1"/>
        <w:gridCol w:w="5954"/>
        <w:gridCol w:w="1705"/>
      </w:tblGrid>
      <w:tr w:rsidR="008C1B3D" w:rsidRPr="00545CD8" w:rsidTr="002828DF">
        <w:trPr>
          <w:tblHeader/>
        </w:trPr>
        <w:tc>
          <w:tcPr>
            <w:tcW w:w="1881" w:type="dxa"/>
          </w:tcPr>
          <w:p w:rsidR="008C1B3D" w:rsidRPr="00545CD8" w:rsidRDefault="008C1B3D">
            <w:pPr>
              <w:tabs>
                <w:tab w:val="left" w:pos="720"/>
              </w:tabs>
              <w:jc w:val="both"/>
              <w:rPr>
                <w:rFonts w:cs="Arial"/>
                <w:b/>
                <w:bCs/>
              </w:rPr>
            </w:pPr>
            <w:r w:rsidRPr="00545CD8">
              <w:rPr>
                <w:rFonts w:cs="Arial"/>
                <w:b/>
                <w:bCs/>
              </w:rPr>
              <w:lastRenderedPageBreak/>
              <w:t>Policy</w:t>
            </w:r>
          </w:p>
        </w:tc>
        <w:tc>
          <w:tcPr>
            <w:tcW w:w="5954" w:type="dxa"/>
          </w:tcPr>
          <w:p w:rsidR="008C1B3D" w:rsidRPr="00545CD8" w:rsidRDefault="00892039" w:rsidP="00F65715">
            <w:pPr>
              <w:tabs>
                <w:tab w:val="left" w:pos="720"/>
              </w:tabs>
              <w:jc w:val="both"/>
              <w:rPr>
                <w:rFonts w:cs="Arial"/>
                <w:b/>
                <w:bCs/>
              </w:rPr>
            </w:pPr>
            <w:r w:rsidRPr="00545CD8">
              <w:rPr>
                <w:rFonts w:cs="Arial"/>
                <w:b/>
                <w:bCs/>
              </w:rPr>
              <w:t xml:space="preserve">Higher Education </w:t>
            </w:r>
            <w:r w:rsidR="00F65715">
              <w:rPr>
                <w:rFonts w:cs="Arial"/>
                <w:b/>
                <w:bCs/>
              </w:rPr>
              <w:t>Academic Misconduct</w:t>
            </w:r>
            <w:r w:rsidR="00B37669">
              <w:rPr>
                <w:rFonts w:cs="Arial"/>
                <w:b/>
                <w:bCs/>
              </w:rPr>
              <w:t xml:space="preserve"> </w:t>
            </w:r>
            <w:r w:rsidR="00E74195" w:rsidRPr="00545CD8">
              <w:rPr>
                <w:rFonts w:cs="Arial"/>
                <w:b/>
                <w:bCs/>
              </w:rPr>
              <w:t>Policy</w:t>
            </w:r>
          </w:p>
        </w:tc>
        <w:tc>
          <w:tcPr>
            <w:tcW w:w="1705" w:type="dxa"/>
          </w:tcPr>
          <w:p w:rsidR="008C1B3D" w:rsidRPr="00545CD8" w:rsidRDefault="00635195">
            <w:pPr>
              <w:pStyle w:val="Header"/>
              <w:tabs>
                <w:tab w:val="clear" w:pos="4153"/>
                <w:tab w:val="clear" w:pos="8306"/>
                <w:tab w:val="left" w:pos="720"/>
              </w:tabs>
              <w:rPr>
                <w:rFonts w:cs="Arial"/>
                <w:b/>
                <w:bCs/>
              </w:rPr>
            </w:pPr>
            <w:r>
              <w:rPr>
                <w:rFonts w:cs="Arial"/>
                <w:b/>
                <w:bCs/>
              </w:rPr>
              <w:t>Quality Code Ref</w:t>
            </w:r>
          </w:p>
        </w:tc>
      </w:tr>
      <w:tr w:rsidR="008C1B3D" w:rsidRPr="00545CD8" w:rsidTr="002828DF">
        <w:tc>
          <w:tcPr>
            <w:tcW w:w="1881" w:type="dxa"/>
          </w:tcPr>
          <w:p w:rsidR="008C1B3D" w:rsidRPr="00545CD8" w:rsidRDefault="00503DD6">
            <w:pPr>
              <w:pStyle w:val="Heading4"/>
            </w:pPr>
            <w:r>
              <w:lastRenderedPageBreak/>
              <w:t>Definitions</w:t>
            </w:r>
          </w:p>
          <w:p w:rsidR="008C1B3D" w:rsidRPr="00545CD8" w:rsidRDefault="008C1B3D">
            <w:pPr>
              <w:pStyle w:val="BodyText"/>
            </w:pPr>
          </w:p>
        </w:tc>
        <w:tc>
          <w:tcPr>
            <w:tcW w:w="5954" w:type="dxa"/>
          </w:tcPr>
          <w:p w:rsidR="0067284B" w:rsidRDefault="0067284B" w:rsidP="0067284B">
            <w:pPr>
              <w:autoSpaceDE w:val="0"/>
              <w:autoSpaceDN w:val="0"/>
              <w:adjustRightInd w:val="0"/>
              <w:spacing w:after="0"/>
              <w:rPr>
                <w:rFonts w:cs="Arial"/>
              </w:rPr>
            </w:pPr>
            <w:r w:rsidRPr="0061479B">
              <w:rPr>
                <w:b/>
              </w:rPr>
              <w:t>Academic Integrity</w:t>
            </w:r>
            <w:r>
              <w:t xml:space="preserve"> – This refers to scholarship conducted in an open, honest and responsible manner.  All scholarly activity builds </w:t>
            </w:r>
            <w:r w:rsidRPr="00F7213C">
              <w:rPr>
                <w:rFonts w:cs="Arial"/>
              </w:rPr>
              <w:t>upon the work of others and is subject to scrutiny and</w:t>
            </w:r>
            <w:r>
              <w:rPr>
                <w:rFonts w:cs="Arial"/>
              </w:rPr>
              <w:t xml:space="preserve"> </w:t>
            </w:r>
            <w:r w:rsidRPr="00F7213C">
              <w:rPr>
                <w:rFonts w:cs="Arial"/>
              </w:rPr>
              <w:t>students are expected to show respect for the intellectual property of the people who have</w:t>
            </w:r>
            <w:r>
              <w:rPr>
                <w:rFonts w:cs="Arial"/>
              </w:rPr>
              <w:t xml:space="preserve"> </w:t>
            </w:r>
            <w:r w:rsidRPr="00F7213C">
              <w:rPr>
                <w:rFonts w:cs="Arial"/>
              </w:rPr>
              <w:t>helped them to develop their own ideas by always attributing and acknowledging source</w:t>
            </w:r>
            <w:r>
              <w:rPr>
                <w:rFonts w:cs="Arial"/>
              </w:rPr>
              <w:t xml:space="preserve"> </w:t>
            </w:r>
            <w:r w:rsidRPr="00F7213C">
              <w:rPr>
                <w:rFonts w:cs="Arial"/>
              </w:rPr>
              <w:t>material.</w:t>
            </w:r>
          </w:p>
          <w:p w:rsidR="0067284B" w:rsidRDefault="0067284B" w:rsidP="0067284B">
            <w:pPr>
              <w:autoSpaceDE w:val="0"/>
              <w:autoSpaceDN w:val="0"/>
              <w:adjustRightInd w:val="0"/>
              <w:spacing w:after="0"/>
              <w:rPr>
                <w:rFonts w:cs="Arial"/>
              </w:rPr>
            </w:pPr>
          </w:p>
          <w:p w:rsidR="0067284B" w:rsidRDefault="0067284B" w:rsidP="0067284B">
            <w:pPr>
              <w:autoSpaceDE w:val="0"/>
              <w:autoSpaceDN w:val="0"/>
              <w:adjustRightInd w:val="0"/>
              <w:spacing w:after="0"/>
              <w:rPr>
                <w:rFonts w:cs="Arial"/>
              </w:rPr>
            </w:pPr>
            <w:r w:rsidRPr="0061479B">
              <w:rPr>
                <w:rFonts w:cs="Arial"/>
                <w:b/>
              </w:rPr>
              <w:t>Poor Scholarship</w:t>
            </w:r>
            <w:r>
              <w:rPr>
                <w:rFonts w:cs="Arial"/>
              </w:rPr>
              <w:t xml:space="preserve"> - </w:t>
            </w:r>
            <w:r w:rsidRPr="00F7213C">
              <w:rPr>
                <w:rFonts w:cs="Arial"/>
              </w:rPr>
              <w:t>Poor scholarship is characterised by limited or inadequate technical skills or adherence to</w:t>
            </w:r>
            <w:r>
              <w:rPr>
                <w:rFonts w:cs="Arial"/>
              </w:rPr>
              <w:t xml:space="preserve"> </w:t>
            </w:r>
            <w:r w:rsidRPr="00F7213C">
              <w:rPr>
                <w:rFonts w:cs="Arial"/>
              </w:rPr>
              <w:t>academic conventions, whether through negligence or a lack of understanding and ability. Failure to properly attribute the work of others may be regarded as plagiarism and misuse of</w:t>
            </w:r>
            <w:r>
              <w:rPr>
                <w:rFonts w:cs="Arial"/>
              </w:rPr>
              <w:t xml:space="preserve"> </w:t>
            </w:r>
            <w:r w:rsidRPr="00F7213C">
              <w:rPr>
                <w:rFonts w:cs="Arial"/>
              </w:rPr>
              <w:t>source material may be regarded as falsification.</w:t>
            </w:r>
          </w:p>
          <w:p w:rsidR="0061479B" w:rsidRDefault="0061479B" w:rsidP="0067284B">
            <w:pPr>
              <w:autoSpaceDE w:val="0"/>
              <w:autoSpaceDN w:val="0"/>
              <w:adjustRightInd w:val="0"/>
              <w:spacing w:after="0"/>
              <w:rPr>
                <w:rFonts w:cs="Arial"/>
              </w:rPr>
            </w:pPr>
          </w:p>
          <w:p w:rsidR="0067284B" w:rsidRDefault="0067284B" w:rsidP="0067284B">
            <w:pPr>
              <w:autoSpaceDE w:val="0"/>
              <w:autoSpaceDN w:val="0"/>
              <w:adjustRightInd w:val="0"/>
              <w:spacing w:after="0"/>
              <w:rPr>
                <w:rFonts w:cs="Arial"/>
              </w:rPr>
            </w:pPr>
            <w:r w:rsidRPr="0061479B">
              <w:rPr>
                <w:rFonts w:cs="Arial"/>
                <w:b/>
              </w:rPr>
              <w:t>Re-use of Material</w:t>
            </w:r>
            <w:r>
              <w:rPr>
                <w:rFonts w:cs="Arial"/>
              </w:rPr>
              <w:t xml:space="preserve"> - </w:t>
            </w:r>
            <w:r w:rsidRPr="00F7213C">
              <w:rPr>
                <w:rFonts w:cs="Arial"/>
              </w:rPr>
              <w:t>Work submitted for assessment must be a new, original piece of work produced specifically for</w:t>
            </w:r>
            <w:r>
              <w:rPr>
                <w:rFonts w:cs="Arial"/>
              </w:rPr>
              <w:t xml:space="preserve"> </w:t>
            </w:r>
            <w:r w:rsidRPr="00F7213C">
              <w:rPr>
                <w:rFonts w:cs="Arial"/>
              </w:rPr>
              <w:t>the assignment. Any re-use or re-purposing of a student</w:t>
            </w:r>
            <w:r w:rsidR="0061479B">
              <w:rPr>
                <w:rFonts w:cs="Arial"/>
              </w:rPr>
              <w:t xml:space="preserve">’s own material must be clearly </w:t>
            </w:r>
            <w:r w:rsidRPr="00F7213C">
              <w:rPr>
                <w:rFonts w:cs="Arial"/>
              </w:rPr>
              <w:t>identified as such and show how ideas or concepts have been developed in the new work.</w:t>
            </w:r>
            <w:r w:rsidR="0061479B">
              <w:rPr>
                <w:rFonts w:cs="Arial"/>
              </w:rPr>
              <w:t xml:space="preserve"> </w:t>
            </w:r>
          </w:p>
          <w:p w:rsidR="0061479B" w:rsidRDefault="0061479B" w:rsidP="0067284B">
            <w:pPr>
              <w:autoSpaceDE w:val="0"/>
              <w:autoSpaceDN w:val="0"/>
              <w:adjustRightInd w:val="0"/>
              <w:spacing w:after="0"/>
              <w:rPr>
                <w:rFonts w:cs="Arial"/>
              </w:rPr>
            </w:pPr>
          </w:p>
          <w:p w:rsidR="0061479B" w:rsidRDefault="0061479B" w:rsidP="0061479B">
            <w:pPr>
              <w:autoSpaceDE w:val="0"/>
              <w:autoSpaceDN w:val="0"/>
              <w:adjustRightInd w:val="0"/>
              <w:spacing w:after="0"/>
              <w:rPr>
                <w:rFonts w:cs="Arial"/>
              </w:rPr>
            </w:pPr>
            <w:r w:rsidRPr="0061479B">
              <w:rPr>
                <w:rFonts w:cs="Arial"/>
                <w:b/>
              </w:rPr>
              <w:t>Academic Misconduct</w:t>
            </w:r>
            <w:r>
              <w:rPr>
                <w:rFonts w:cs="Arial"/>
              </w:rPr>
              <w:t xml:space="preserve"> - </w:t>
            </w:r>
            <w:r w:rsidRPr="00F7213C">
              <w:rPr>
                <w:rFonts w:cs="Arial"/>
              </w:rPr>
              <w:t>Academic misconduct encompasses all kinds of academic dishonesty, whether deliberate or</w:t>
            </w:r>
            <w:r>
              <w:rPr>
                <w:rFonts w:cs="Arial"/>
              </w:rPr>
              <w:t xml:space="preserve"> </w:t>
            </w:r>
            <w:r w:rsidRPr="00F7213C">
              <w:rPr>
                <w:rFonts w:cs="Arial"/>
              </w:rPr>
              <w:t>unintentional, which infringes the integrity of the College’s assessment procedures. The following are examples of academic misconduct</w:t>
            </w:r>
            <w:r>
              <w:rPr>
                <w:rFonts w:cs="Arial"/>
              </w:rPr>
              <w:t>:</w:t>
            </w:r>
          </w:p>
          <w:p w:rsidR="0061479B" w:rsidRDefault="0061479B" w:rsidP="0061479B">
            <w:pPr>
              <w:autoSpaceDE w:val="0"/>
              <w:autoSpaceDN w:val="0"/>
              <w:adjustRightInd w:val="0"/>
              <w:spacing w:after="0"/>
              <w:rPr>
                <w:rFonts w:cs="Arial"/>
              </w:rPr>
            </w:pPr>
          </w:p>
          <w:p w:rsidR="0061479B" w:rsidRPr="00494C36" w:rsidRDefault="0061479B" w:rsidP="0061479B">
            <w:pPr>
              <w:pStyle w:val="ListParagraph"/>
              <w:numPr>
                <w:ilvl w:val="0"/>
                <w:numId w:val="24"/>
              </w:numPr>
              <w:autoSpaceDE w:val="0"/>
              <w:autoSpaceDN w:val="0"/>
              <w:adjustRightInd w:val="0"/>
              <w:spacing w:after="0"/>
              <w:rPr>
                <w:rFonts w:ascii="Arial" w:hAnsi="Arial" w:cs="Arial"/>
                <w:b/>
              </w:rPr>
            </w:pPr>
            <w:r w:rsidRPr="0061479B">
              <w:rPr>
                <w:rFonts w:ascii="Arial" w:hAnsi="Arial" w:cs="Arial"/>
                <w:b/>
              </w:rPr>
              <w:t>Plagiarism</w:t>
            </w:r>
            <w:r>
              <w:rPr>
                <w:rFonts w:ascii="Arial" w:hAnsi="Arial" w:cs="Arial"/>
              </w:rPr>
              <w:t xml:space="preserve"> -</w:t>
            </w:r>
            <w:r w:rsidRPr="0061479B">
              <w:rPr>
                <w:rFonts w:ascii="Arial" w:hAnsi="Arial" w:cs="Arial"/>
              </w:rPr>
              <w:t xml:space="preserve"> a form of cheating which involves presenting another person’s ideas or</w:t>
            </w:r>
            <w:r w:rsidRPr="0061479B">
              <w:rPr>
                <w:rFonts w:cs="Arial"/>
              </w:rPr>
              <w:t xml:space="preserve"> </w:t>
            </w:r>
            <w:r w:rsidRPr="0061479B">
              <w:rPr>
                <w:rFonts w:ascii="Arial" w:hAnsi="Arial" w:cs="Arial"/>
              </w:rPr>
              <w:t>expressions without acknowledging the source. This includes internet sources. Any work submitted for assessment must, unless collaborative work has been specifically permitted in the assignment guidelines, be the result of a permitted collaboration, any material, from whatever source, must be clearly acknowledged</w:t>
            </w:r>
            <w:r w:rsidR="00494C36">
              <w:rPr>
                <w:rFonts w:ascii="Arial" w:hAnsi="Arial" w:cs="Arial"/>
              </w:rPr>
              <w:t>.</w:t>
            </w:r>
          </w:p>
          <w:p w:rsidR="0061479B" w:rsidRPr="00494C36" w:rsidRDefault="0061479B" w:rsidP="00494C36">
            <w:pPr>
              <w:pStyle w:val="ListParagraph"/>
              <w:numPr>
                <w:ilvl w:val="0"/>
                <w:numId w:val="24"/>
              </w:numPr>
              <w:autoSpaceDE w:val="0"/>
              <w:autoSpaceDN w:val="0"/>
              <w:adjustRightInd w:val="0"/>
              <w:spacing w:after="0"/>
              <w:rPr>
                <w:rFonts w:ascii="Arial" w:hAnsi="Arial" w:cs="Arial"/>
                <w:b/>
              </w:rPr>
            </w:pPr>
            <w:r w:rsidRPr="00494C36">
              <w:rPr>
                <w:rFonts w:ascii="Arial" w:hAnsi="Arial" w:cs="Arial"/>
                <w:b/>
              </w:rPr>
              <w:t>Collusion</w:t>
            </w:r>
            <w:r w:rsidR="00494C36">
              <w:rPr>
                <w:rFonts w:ascii="Arial" w:hAnsi="Arial" w:cs="Arial"/>
                <w:b/>
              </w:rPr>
              <w:t xml:space="preserve"> – </w:t>
            </w:r>
            <w:r w:rsidR="00494C36" w:rsidRPr="00494C36">
              <w:rPr>
                <w:rFonts w:ascii="Arial" w:hAnsi="Arial" w:cs="Arial"/>
              </w:rPr>
              <w:t>a form of cheating</w:t>
            </w:r>
            <w:r w:rsidR="00494C36">
              <w:rPr>
                <w:rFonts w:ascii="Arial" w:hAnsi="Arial" w:cs="Arial"/>
              </w:rPr>
              <w:t xml:space="preserve"> which could relate to </w:t>
            </w:r>
            <w:r w:rsidRPr="00494C36">
              <w:rPr>
                <w:rFonts w:ascii="Arial" w:hAnsi="Arial" w:cs="Arial"/>
              </w:rPr>
              <w:t>unauthorised collaboration with others</w:t>
            </w:r>
            <w:r w:rsidR="00494C36">
              <w:rPr>
                <w:rFonts w:ascii="Arial" w:hAnsi="Arial" w:cs="Arial"/>
              </w:rPr>
              <w:t xml:space="preserve"> or presenting work</w:t>
            </w:r>
            <w:r w:rsidRPr="00494C36">
              <w:rPr>
                <w:rFonts w:ascii="Arial" w:hAnsi="Arial" w:cs="Arial"/>
              </w:rPr>
              <w:t xml:space="preserve"> as their own which has been </w:t>
            </w:r>
            <w:r w:rsidR="00494C36">
              <w:rPr>
                <w:rFonts w:ascii="Arial" w:hAnsi="Arial" w:cs="Arial"/>
              </w:rPr>
              <w:t>produced by another student.</w:t>
            </w:r>
            <w:r w:rsidR="0093374D">
              <w:rPr>
                <w:rFonts w:ascii="Arial" w:hAnsi="Arial" w:cs="Arial"/>
              </w:rPr>
              <w:t xml:space="preserve">  </w:t>
            </w:r>
            <w:r w:rsidR="0093374D" w:rsidRPr="0093374D">
              <w:rPr>
                <w:rFonts w:ascii="Arial" w:hAnsi="Arial" w:cs="Arial"/>
                <w:color w:val="FF0000"/>
              </w:rPr>
              <w:t>This includes the purchasing of work from a third party</w:t>
            </w:r>
            <w:r w:rsidR="0093374D" w:rsidRPr="0093374D">
              <w:rPr>
                <w:rFonts w:ascii="Arial" w:hAnsi="Arial" w:cs="Arial"/>
                <w:b/>
                <w:color w:val="FF0000"/>
              </w:rPr>
              <w:t>.</w:t>
            </w:r>
          </w:p>
          <w:p w:rsidR="0061479B" w:rsidRDefault="0061479B" w:rsidP="0061479B">
            <w:pPr>
              <w:pStyle w:val="ListParagraph"/>
              <w:numPr>
                <w:ilvl w:val="0"/>
                <w:numId w:val="24"/>
              </w:numPr>
              <w:autoSpaceDE w:val="0"/>
              <w:autoSpaceDN w:val="0"/>
              <w:adjustRightInd w:val="0"/>
              <w:spacing w:after="0"/>
              <w:rPr>
                <w:rFonts w:ascii="Arial" w:hAnsi="Arial" w:cs="Arial"/>
              </w:rPr>
            </w:pPr>
            <w:r w:rsidRPr="0056185A">
              <w:rPr>
                <w:rFonts w:ascii="Arial" w:hAnsi="Arial" w:cs="Arial"/>
                <w:b/>
              </w:rPr>
              <w:t>Fabrication/Falsification</w:t>
            </w:r>
            <w:r w:rsidR="0056185A">
              <w:rPr>
                <w:rFonts w:ascii="Arial" w:hAnsi="Arial" w:cs="Arial"/>
              </w:rPr>
              <w:t xml:space="preserve"> – This includes the </w:t>
            </w:r>
            <w:r w:rsidRPr="0056185A">
              <w:rPr>
                <w:rFonts w:ascii="Arial" w:hAnsi="Arial" w:cs="Arial"/>
              </w:rPr>
              <w:t>tamper</w:t>
            </w:r>
            <w:r w:rsidR="0056185A">
              <w:rPr>
                <w:rFonts w:ascii="Arial" w:hAnsi="Arial" w:cs="Arial"/>
              </w:rPr>
              <w:t xml:space="preserve">ing of </w:t>
            </w:r>
            <w:r w:rsidRPr="0056185A">
              <w:rPr>
                <w:rFonts w:ascii="Arial" w:hAnsi="Arial" w:cs="Arial"/>
              </w:rPr>
              <w:t>official documentation, or fabricat</w:t>
            </w:r>
            <w:r w:rsidR="0056185A">
              <w:rPr>
                <w:rFonts w:ascii="Arial" w:hAnsi="Arial" w:cs="Arial"/>
              </w:rPr>
              <w:t>ion of</w:t>
            </w:r>
            <w:r w:rsidRPr="0056185A">
              <w:rPr>
                <w:rFonts w:ascii="Arial" w:hAnsi="Arial" w:cs="Arial"/>
              </w:rPr>
              <w:t xml:space="preserve"> data or other such content</w:t>
            </w:r>
            <w:r w:rsidR="0056185A">
              <w:rPr>
                <w:rFonts w:ascii="Arial" w:hAnsi="Arial" w:cs="Arial"/>
              </w:rPr>
              <w:t>.</w:t>
            </w:r>
            <w:r w:rsidRPr="0056185A">
              <w:rPr>
                <w:rFonts w:ascii="Arial" w:hAnsi="Arial" w:cs="Arial"/>
              </w:rPr>
              <w:t xml:space="preserve"> This includes the content of work submitted for assessment and any records or documentation associated with academic progress such as entry statements or </w:t>
            </w:r>
            <w:r w:rsidRPr="0056185A">
              <w:rPr>
                <w:rFonts w:ascii="Arial" w:hAnsi="Arial" w:cs="Arial"/>
              </w:rPr>
              <w:lastRenderedPageBreak/>
              <w:t xml:space="preserve">qualifications, false claims for exemption or mitigation, or misrepresentation of a word count or contribution to a group assessment. </w:t>
            </w:r>
          </w:p>
          <w:p w:rsidR="0093374D" w:rsidRPr="0056185A" w:rsidRDefault="0093374D" w:rsidP="0093374D">
            <w:pPr>
              <w:pStyle w:val="ListParagraph"/>
              <w:autoSpaceDE w:val="0"/>
              <w:autoSpaceDN w:val="0"/>
              <w:adjustRightInd w:val="0"/>
              <w:spacing w:after="0"/>
              <w:rPr>
                <w:rFonts w:ascii="Arial" w:hAnsi="Arial" w:cs="Arial"/>
              </w:rPr>
            </w:pPr>
          </w:p>
          <w:p w:rsidR="0061479B" w:rsidRPr="00F7213C" w:rsidRDefault="0061479B" w:rsidP="0061479B">
            <w:pPr>
              <w:autoSpaceDE w:val="0"/>
              <w:autoSpaceDN w:val="0"/>
              <w:adjustRightInd w:val="0"/>
              <w:spacing w:after="0"/>
              <w:rPr>
                <w:rFonts w:cs="Arial"/>
              </w:rPr>
            </w:pPr>
            <w:r w:rsidRPr="0056185A">
              <w:rPr>
                <w:rFonts w:cs="Arial"/>
                <w:b/>
              </w:rPr>
              <w:t>Research Misconduct</w:t>
            </w:r>
            <w:r w:rsidR="0056185A">
              <w:rPr>
                <w:rFonts w:cs="Arial"/>
              </w:rPr>
              <w:t xml:space="preserve"> - </w:t>
            </w:r>
            <w:r w:rsidRPr="00F7213C">
              <w:rPr>
                <w:rFonts w:cs="Arial"/>
              </w:rPr>
              <w:t>All research which contributes to the assessment of taught courses must be conducted in an</w:t>
            </w:r>
            <w:r>
              <w:rPr>
                <w:rFonts w:cs="Arial"/>
              </w:rPr>
              <w:t xml:space="preserve"> </w:t>
            </w:r>
            <w:r w:rsidRPr="00F7213C">
              <w:rPr>
                <w:rFonts w:cs="Arial"/>
              </w:rPr>
              <w:t>ethical and responsible manner. This includes requirements to secure ethical approval prior to</w:t>
            </w:r>
            <w:r>
              <w:rPr>
                <w:rFonts w:cs="Arial"/>
              </w:rPr>
              <w:t xml:space="preserve"> </w:t>
            </w:r>
            <w:r w:rsidRPr="00F7213C">
              <w:rPr>
                <w:rFonts w:cs="Arial"/>
              </w:rPr>
              <w:t>the commencement of primary research, the conduct of the research, the relationship and</w:t>
            </w:r>
            <w:r>
              <w:rPr>
                <w:rFonts w:cs="Arial"/>
              </w:rPr>
              <w:t xml:space="preserve"> </w:t>
            </w:r>
            <w:r w:rsidRPr="00F7213C">
              <w:rPr>
                <w:rFonts w:cs="Arial"/>
              </w:rPr>
              <w:t>dealings with participants and proper handling of data.</w:t>
            </w:r>
          </w:p>
          <w:p w:rsidR="0061479B" w:rsidRPr="0056185A" w:rsidRDefault="0061479B" w:rsidP="0061479B">
            <w:pPr>
              <w:autoSpaceDE w:val="0"/>
              <w:autoSpaceDN w:val="0"/>
              <w:adjustRightInd w:val="0"/>
              <w:spacing w:after="0"/>
              <w:rPr>
                <w:rFonts w:cs="Arial"/>
                <w:b/>
              </w:rPr>
            </w:pPr>
            <w:r w:rsidRPr="0056185A">
              <w:rPr>
                <w:rFonts w:cs="Arial"/>
                <w:b/>
              </w:rPr>
              <w:t>Impersonation</w:t>
            </w:r>
            <w:r w:rsidR="0056185A">
              <w:rPr>
                <w:rFonts w:cs="Arial"/>
                <w:b/>
              </w:rPr>
              <w:t xml:space="preserve"> - </w:t>
            </w:r>
            <w:r w:rsidRPr="00F7213C">
              <w:rPr>
                <w:rFonts w:cs="Arial"/>
              </w:rPr>
              <w:t>Any student found to be assuming the identity of a third party, or where a student is</w:t>
            </w:r>
            <w:r>
              <w:rPr>
                <w:rFonts w:cs="Arial"/>
              </w:rPr>
              <w:t xml:space="preserve"> </w:t>
            </w:r>
            <w:r w:rsidRPr="00F7213C">
              <w:rPr>
                <w:rFonts w:cs="Arial"/>
              </w:rPr>
              <w:t>impersonated by another person, in order to gain or enable access or advantage will be</w:t>
            </w:r>
            <w:r>
              <w:rPr>
                <w:rFonts w:cs="Arial"/>
              </w:rPr>
              <w:t xml:space="preserve"> </w:t>
            </w:r>
            <w:r w:rsidRPr="00F7213C">
              <w:rPr>
                <w:rFonts w:cs="Arial"/>
              </w:rPr>
              <w:t>deemed guilty of impersonation.</w:t>
            </w:r>
          </w:p>
          <w:p w:rsidR="0061479B" w:rsidRPr="0056185A" w:rsidRDefault="0061479B" w:rsidP="0061479B">
            <w:pPr>
              <w:autoSpaceDE w:val="0"/>
              <w:autoSpaceDN w:val="0"/>
              <w:adjustRightInd w:val="0"/>
              <w:spacing w:after="0"/>
              <w:rPr>
                <w:rFonts w:cs="Arial"/>
                <w:b/>
              </w:rPr>
            </w:pPr>
            <w:r w:rsidRPr="0056185A">
              <w:rPr>
                <w:rFonts w:cs="Arial"/>
                <w:b/>
              </w:rPr>
              <w:t>Cheating in Examinations</w:t>
            </w:r>
            <w:r w:rsidR="0056185A">
              <w:rPr>
                <w:rFonts w:cs="Arial"/>
                <w:b/>
              </w:rPr>
              <w:t xml:space="preserve"> - </w:t>
            </w:r>
            <w:r w:rsidRPr="00F7213C">
              <w:rPr>
                <w:rFonts w:cs="Arial"/>
              </w:rPr>
              <w:t>Any breach of the examination procedure which compromises the integrity of the assessment</w:t>
            </w:r>
            <w:r>
              <w:rPr>
                <w:rFonts w:cs="Arial"/>
              </w:rPr>
              <w:t xml:space="preserve"> </w:t>
            </w:r>
            <w:r w:rsidRPr="00F7213C">
              <w:rPr>
                <w:rFonts w:cs="Arial"/>
              </w:rPr>
              <w:t>will be regarded as academic misconduct, regardless of whether any advantage was gained or</w:t>
            </w:r>
            <w:r>
              <w:rPr>
                <w:rFonts w:cs="Arial"/>
              </w:rPr>
              <w:t xml:space="preserve"> </w:t>
            </w:r>
            <w:r w:rsidRPr="00F7213C">
              <w:rPr>
                <w:rFonts w:cs="Arial"/>
              </w:rPr>
              <w:t>there was any intention to do so. These principles apply equally to formal examinations and to</w:t>
            </w:r>
            <w:r>
              <w:rPr>
                <w:rFonts w:cs="Arial"/>
              </w:rPr>
              <w:t xml:space="preserve"> </w:t>
            </w:r>
            <w:r w:rsidRPr="00F7213C">
              <w:rPr>
                <w:rFonts w:cs="Arial"/>
              </w:rPr>
              <w:t xml:space="preserve">all laboratory and class tests conducted under exam conditions. </w:t>
            </w:r>
          </w:p>
          <w:p w:rsidR="008C1B3D" w:rsidRPr="00545CD8" w:rsidRDefault="008C1B3D" w:rsidP="0056185A"/>
        </w:tc>
        <w:tc>
          <w:tcPr>
            <w:tcW w:w="1705" w:type="dxa"/>
          </w:tcPr>
          <w:p w:rsidR="008C1B3D" w:rsidRDefault="00BF419E">
            <w:pPr>
              <w:pStyle w:val="Header"/>
              <w:tabs>
                <w:tab w:val="clear" w:pos="4153"/>
                <w:tab w:val="clear" w:pos="8306"/>
                <w:tab w:val="left" w:pos="720"/>
              </w:tabs>
              <w:rPr>
                <w:rFonts w:cs="Arial"/>
              </w:rPr>
            </w:pPr>
            <w:r>
              <w:rPr>
                <w:rFonts w:cs="Arial"/>
              </w:rPr>
              <w:lastRenderedPageBreak/>
              <w:t>Assessment</w:t>
            </w:r>
          </w:p>
          <w:p w:rsidR="00BF419E" w:rsidRDefault="00BF419E">
            <w:pPr>
              <w:pStyle w:val="Header"/>
              <w:tabs>
                <w:tab w:val="clear" w:pos="4153"/>
                <w:tab w:val="clear" w:pos="8306"/>
                <w:tab w:val="left" w:pos="720"/>
              </w:tabs>
              <w:rPr>
                <w:rFonts w:cs="Arial"/>
              </w:rPr>
            </w:pPr>
            <w:r>
              <w:rPr>
                <w:rFonts w:cs="Arial"/>
              </w:rPr>
              <w:t>Expectations for Quality 1</w:t>
            </w:r>
          </w:p>
          <w:p w:rsidR="00BF419E" w:rsidRDefault="00BF419E">
            <w:pPr>
              <w:pStyle w:val="Header"/>
              <w:tabs>
                <w:tab w:val="clear" w:pos="4153"/>
                <w:tab w:val="clear" w:pos="8306"/>
                <w:tab w:val="left" w:pos="720"/>
              </w:tabs>
              <w:rPr>
                <w:rFonts w:cs="Arial"/>
              </w:rPr>
            </w:pPr>
            <w:r>
              <w:rPr>
                <w:rFonts w:cs="Arial"/>
              </w:rPr>
              <w:t>Core Practices 1</w:t>
            </w:r>
          </w:p>
          <w:p w:rsidR="00BF419E" w:rsidRPr="00545CD8" w:rsidRDefault="00BF419E">
            <w:pPr>
              <w:pStyle w:val="Header"/>
              <w:tabs>
                <w:tab w:val="clear" w:pos="4153"/>
                <w:tab w:val="clear" w:pos="8306"/>
                <w:tab w:val="left" w:pos="720"/>
              </w:tabs>
              <w:rPr>
                <w:rFonts w:cs="Arial"/>
              </w:rPr>
            </w:pPr>
            <w:r>
              <w:rPr>
                <w:rFonts w:cs="Arial"/>
              </w:rPr>
              <w:t>Guiding Principles 2, 9, 10</w:t>
            </w:r>
          </w:p>
        </w:tc>
      </w:tr>
      <w:tr w:rsidR="008C1B3D" w:rsidRPr="00545CD8" w:rsidTr="002828DF">
        <w:tc>
          <w:tcPr>
            <w:tcW w:w="1881" w:type="dxa"/>
          </w:tcPr>
          <w:p w:rsidR="008C1B3D" w:rsidRPr="00545CD8" w:rsidRDefault="009C5D92">
            <w:pPr>
              <w:pStyle w:val="BodyText2"/>
            </w:pPr>
            <w:r>
              <w:t>Support for Students</w:t>
            </w:r>
          </w:p>
        </w:tc>
        <w:tc>
          <w:tcPr>
            <w:tcW w:w="5954" w:type="dxa"/>
          </w:tcPr>
          <w:p w:rsidR="008E3588" w:rsidRDefault="009C5D92" w:rsidP="00C52D40">
            <w:pPr>
              <w:pStyle w:val="BodyTextIndent2"/>
              <w:ind w:left="0"/>
            </w:pPr>
            <w:r>
              <w:t>All students will be provided with support to help them to develop appropriate academic skills.  This includes, but is not limited to, the following:</w:t>
            </w:r>
          </w:p>
          <w:p w:rsidR="00D75BBF" w:rsidRDefault="00D75BBF" w:rsidP="00D75BBF">
            <w:pPr>
              <w:pStyle w:val="BodyTextIndent2"/>
              <w:numPr>
                <w:ilvl w:val="0"/>
                <w:numId w:val="25"/>
              </w:numPr>
            </w:pPr>
            <w:r>
              <w:t>Taught sessions within the Professional Development module;</w:t>
            </w:r>
          </w:p>
          <w:p w:rsidR="00D75BBF" w:rsidRDefault="00D75BBF" w:rsidP="00D75BBF">
            <w:pPr>
              <w:pStyle w:val="BodyTextIndent2"/>
              <w:numPr>
                <w:ilvl w:val="0"/>
                <w:numId w:val="25"/>
              </w:numPr>
            </w:pPr>
            <w:r>
              <w:t>Workshop sessions provided by Library staff;</w:t>
            </w:r>
          </w:p>
          <w:p w:rsidR="00D75BBF" w:rsidRDefault="00D75BBF" w:rsidP="00D75BBF">
            <w:pPr>
              <w:pStyle w:val="BodyTextIndent2"/>
              <w:numPr>
                <w:ilvl w:val="0"/>
                <w:numId w:val="25"/>
              </w:numPr>
            </w:pPr>
            <w:r>
              <w:t>A range of materials provided via the VLE.</w:t>
            </w:r>
          </w:p>
          <w:p w:rsidR="009C5D92" w:rsidRPr="00545CD8" w:rsidRDefault="009C5D92" w:rsidP="00C52D40">
            <w:pPr>
              <w:pStyle w:val="BodyTextIndent2"/>
              <w:ind w:left="0"/>
            </w:pPr>
          </w:p>
        </w:tc>
        <w:tc>
          <w:tcPr>
            <w:tcW w:w="1705" w:type="dxa"/>
          </w:tcPr>
          <w:p w:rsidR="00BF419E" w:rsidRDefault="00BF419E" w:rsidP="00BF419E">
            <w:pPr>
              <w:pStyle w:val="Header"/>
              <w:tabs>
                <w:tab w:val="clear" w:pos="4153"/>
                <w:tab w:val="clear" w:pos="8306"/>
                <w:tab w:val="left" w:pos="720"/>
              </w:tabs>
              <w:rPr>
                <w:rFonts w:cs="Arial"/>
              </w:rPr>
            </w:pPr>
            <w:r>
              <w:rPr>
                <w:rFonts w:cs="Arial"/>
              </w:rPr>
              <w:t>Assessment</w:t>
            </w:r>
          </w:p>
          <w:p w:rsidR="00BF419E" w:rsidRDefault="00BF419E" w:rsidP="00BF419E">
            <w:pPr>
              <w:pStyle w:val="Header"/>
              <w:tabs>
                <w:tab w:val="clear" w:pos="4153"/>
                <w:tab w:val="clear" w:pos="8306"/>
                <w:tab w:val="left" w:pos="720"/>
              </w:tabs>
              <w:rPr>
                <w:rFonts w:cs="Arial"/>
              </w:rPr>
            </w:pPr>
            <w:r>
              <w:rPr>
                <w:rFonts w:cs="Arial"/>
              </w:rPr>
              <w:t>Expectations for Quality 1</w:t>
            </w:r>
          </w:p>
          <w:p w:rsidR="00BF419E" w:rsidRDefault="00BF419E" w:rsidP="00BF419E">
            <w:pPr>
              <w:pStyle w:val="Header"/>
              <w:tabs>
                <w:tab w:val="clear" w:pos="4153"/>
                <w:tab w:val="clear" w:pos="8306"/>
                <w:tab w:val="left" w:pos="720"/>
              </w:tabs>
              <w:rPr>
                <w:rFonts w:cs="Arial"/>
              </w:rPr>
            </w:pPr>
            <w:r>
              <w:rPr>
                <w:rFonts w:cs="Arial"/>
              </w:rPr>
              <w:t>Core Practices 1</w:t>
            </w:r>
          </w:p>
          <w:p w:rsidR="008E3588" w:rsidRPr="00545CD8" w:rsidRDefault="00BF419E" w:rsidP="001C1AFC">
            <w:pPr>
              <w:pStyle w:val="Header"/>
              <w:tabs>
                <w:tab w:val="clear" w:pos="4153"/>
                <w:tab w:val="clear" w:pos="8306"/>
                <w:tab w:val="left" w:pos="720"/>
              </w:tabs>
              <w:rPr>
                <w:rFonts w:cs="Arial"/>
              </w:rPr>
            </w:pPr>
            <w:r>
              <w:rPr>
                <w:rFonts w:cs="Arial"/>
              </w:rPr>
              <w:t xml:space="preserve">Guiding Principles </w:t>
            </w:r>
            <w:r w:rsidR="001C1AFC">
              <w:rPr>
                <w:rFonts w:cs="Arial"/>
              </w:rPr>
              <w:t xml:space="preserve"> 9</w:t>
            </w:r>
          </w:p>
        </w:tc>
      </w:tr>
      <w:tr w:rsidR="00DD299B" w:rsidRPr="00545CD8" w:rsidTr="002828DF">
        <w:tc>
          <w:tcPr>
            <w:tcW w:w="1881" w:type="dxa"/>
          </w:tcPr>
          <w:p w:rsidR="00DD299B" w:rsidRPr="00545CD8" w:rsidRDefault="009C5D92" w:rsidP="00DD299B">
            <w:pPr>
              <w:pStyle w:val="BodyText2"/>
              <w:rPr>
                <w:b w:val="0"/>
                <w:bCs w:val="0"/>
              </w:rPr>
            </w:pPr>
            <w:r>
              <w:t>Process</w:t>
            </w:r>
          </w:p>
        </w:tc>
        <w:tc>
          <w:tcPr>
            <w:tcW w:w="5954" w:type="dxa"/>
          </w:tcPr>
          <w:p w:rsidR="00A471DE" w:rsidRPr="00545CD8" w:rsidRDefault="00A471DE" w:rsidP="00552C01">
            <w:pPr>
              <w:pStyle w:val="BodyTextIndent2"/>
              <w:ind w:left="0"/>
            </w:pPr>
            <w:r>
              <w:t>All suspected cases of Academic Misconduct will be reported to HEDO who will then check the course of action to be taken.  HEDO will maintain a record of all instances of proven academic misconduct.</w:t>
            </w:r>
          </w:p>
        </w:tc>
        <w:tc>
          <w:tcPr>
            <w:tcW w:w="1705" w:type="dxa"/>
          </w:tcPr>
          <w:p w:rsidR="00C52D40" w:rsidRPr="00FD79AE" w:rsidRDefault="00C52D40" w:rsidP="00DD299B">
            <w:pPr>
              <w:pStyle w:val="Header"/>
              <w:tabs>
                <w:tab w:val="clear" w:pos="4153"/>
                <w:tab w:val="clear" w:pos="8306"/>
                <w:tab w:val="left" w:pos="720"/>
              </w:tabs>
              <w:rPr>
                <w:rFonts w:cs="Arial"/>
              </w:rPr>
            </w:pPr>
          </w:p>
        </w:tc>
      </w:tr>
      <w:tr w:rsidR="008C1B3D" w:rsidRPr="00545CD8" w:rsidTr="002828DF">
        <w:tc>
          <w:tcPr>
            <w:tcW w:w="1881" w:type="dxa"/>
          </w:tcPr>
          <w:p w:rsidR="008C1B3D" w:rsidRPr="00545CD8" w:rsidRDefault="008C1B3D">
            <w:pPr>
              <w:pStyle w:val="BodyText2"/>
            </w:pPr>
            <w:r w:rsidRPr="00545CD8">
              <w:t>Staff development and training</w:t>
            </w:r>
          </w:p>
          <w:p w:rsidR="008C1B3D" w:rsidRPr="00545CD8" w:rsidRDefault="008C1B3D">
            <w:pPr>
              <w:pStyle w:val="BodyTextIndent2"/>
              <w:ind w:left="0"/>
              <w:rPr>
                <w:b/>
                <w:bCs/>
              </w:rPr>
            </w:pPr>
          </w:p>
        </w:tc>
        <w:tc>
          <w:tcPr>
            <w:tcW w:w="5954" w:type="dxa"/>
          </w:tcPr>
          <w:p w:rsidR="008C1B3D" w:rsidRPr="00545CD8" w:rsidRDefault="008C1B3D">
            <w:pPr>
              <w:pStyle w:val="BodyTextIndent2"/>
              <w:ind w:left="0"/>
            </w:pPr>
            <w:r w:rsidRPr="00545CD8">
              <w:t>The College requires that all staff involved in the</w:t>
            </w:r>
            <w:r w:rsidR="009C5D92">
              <w:t xml:space="preserve"> supporting, teaching and </w:t>
            </w:r>
            <w:r w:rsidRPr="00545CD8">
              <w:t>assess</w:t>
            </w:r>
            <w:r w:rsidR="009C5D92">
              <w:t>ing</w:t>
            </w:r>
            <w:r w:rsidRPr="00545CD8">
              <w:t xml:space="preserve"> of students are competent to undertake their roles and responsibilities. Assessors will be appropriately qualified</w:t>
            </w:r>
            <w:r w:rsidR="006E4EEB">
              <w:t xml:space="preserve">, </w:t>
            </w:r>
            <w:r w:rsidR="006E4EEB" w:rsidRPr="00351F28">
              <w:t>trained</w:t>
            </w:r>
            <w:r w:rsidRPr="00351F28">
              <w:t xml:space="preserve"> and meet the requirements of the awar</w:t>
            </w:r>
            <w:r w:rsidR="006E4EEB" w:rsidRPr="00351F28">
              <w:t>ding body and</w:t>
            </w:r>
            <w:r w:rsidRPr="00351F28">
              <w:t xml:space="preserve"> the </w:t>
            </w:r>
            <w:r w:rsidR="0093374D">
              <w:t xml:space="preserve">revised </w:t>
            </w:r>
            <w:r w:rsidRPr="00351F28">
              <w:t xml:space="preserve">Quality Assurance </w:t>
            </w:r>
            <w:r w:rsidR="006E4EEB" w:rsidRPr="00351F28">
              <w:t>Quality</w:t>
            </w:r>
            <w:r w:rsidRPr="00351F28">
              <w:t xml:space="preserve"> Code.</w:t>
            </w:r>
          </w:p>
          <w:p w:rsidR="008C1B3D" w:rsidRPr="00545CD8" w:rsidRDefault="008C1B3D" w:rsidP="009C5D92">
            <w:pPr>
              <w:pStyle w:val="BodyTextIndent2"/>
              <w:ind w:left="0"/>
            </w:pPr>
          </w:p>
        </w:tc>
        <w:tc>
          <w:tcPr>
            <w:tcW w:w="1705" w:type="dxa"/>
          </w:tcPr>
          <w:p w:rsidR="008C1B3D" w:rsidRPr="00545CD8" w:rsidRDefault="008C1B3D" w:rsidP="009C5D92">
            <w:pPr>
              <w:pStyle w:val="Header"/>
              <w:tabs>
                <w:tab w:val="clear" w:pos="4153"/>
                <w:tab w:val="clear" w:pos="8306"/>
                <w:tab w:val="left" w:pos="720"/>
              </w:tabs>
              <w:rPr>
                <w:rFonts w:cs="Arial"/>
              </w:rPr>
            </w:pPr>
          </w:p>
        </w:tc>
      </w:tr>
      <w:tr w:rsidR="008C1B3D" w:rsidRPr="00545CD8" w:rsidTr="002828DF">
        <w:tc>
          <w:tcPr>
            <w:tcW w:w="1881" w:type="dxa"/>
          </w:tcPr>
          <w:p w:rsidR="008C1B3D" w:rsidRPr="00545CD8" w:rsidRDefault="008C1B3D">
            <w:pPr>
              <w:pStyle w:val="SubHeading"/>
              <w:numPr>
                <w:ilvl w:val="0"/>
                <w:numId w:val="0"/>
              </w:numPr>
              <w:spacing w:before="0" w:after="0"/>
              <w:rPr>
                <w:rFonts w:ascii="Arial" w:hAnsi="Arial" w:cs="Arial"/>
                <w:sz w:val="22"/>
                <w:szCs w:val="22"/>
              </w:rPr>
            </w:pPr>
            <w:r w:rsidRPr="00545CD8">
              <w:rPr>
                <w:rFonts w:ascii="Arial" w:hAnsi="Arial" w:cs="Arial"/>
                <w:sz w:val="22"/>
                <w:szCs w:val="22"/>
              </w:rPr>
              <w:lastRenderedPageBreak/>
              <w:t>Equality and Diversity Statement</w:t>
            </w:r>
          </w:p>
          <w:p w:rsidR="008C1B3D" w:rsidRPr="00545CD8" w:rsidRDefault="008C1B3D">
            <w:pPr>
              <w:pStyle w:val="BodyText2"/>
            </w:pPr>
          </w:p>
        </w:tc>
        <w:tc>
          <w:tcPr>
            <w:tcW w:w="5954" w:type="dxa"/>
          </w:tcPr>
          <w:p w:rsidR="008C1B3D" w:rsidRPr="00545CD8" w:rsidRDefault="008C1B3D">
            <w:pPr>
              <w:pStyle w:val="BodyTextIndent2"/>
              <w:ind w:left="0"/>
            </w:pPr>
            <w:r w:rsidRPr="00545CD8">
              <w:t>This policy will be implemented in accordance with the College’s Policy on Valuing Diversity and with consideration of assessment guidelines set out by awarding bodie</w:t>
            </w:r>
            <w:r w:rsidR="006B4F32" w:rsidRPr="00545CD8">
              <w:t xml:space="preserve">s and where appropriate, the </w:t>
            </w:r>
            <w:r w:rsidR="0093374D">
              <w:t xml:space="preserve">revised </w:t>
            </w:r>
            <w:r w:rsidR="00247A06">
              <w:t>Quality Code</w:t>
            </w:r>
            <w:r w:rsidRPr="00545CD8">
              <w:t>.</w:t>
            </w:r>
          </w:p>
          <w:p w:rsidR="008C1B3D" w:rsidRPr="00545CD8" w:rsidRDefault="008C1B3D" w:rsidP="009C5D92">
            <w:pPr>
              <w:pStyle w:val="BodyTextIndent2"/>
              <w:ind w:left="0"/>
            </w:pPr>
          </w:p>
        </w:tc>
        <w:tc>
          <w:tcPr>
            <w:tcW w:w="1705" w:type="dxa"/>
          </w:tcPr>
          <w:p w:rsidR="001C1AFC" w:rsidRDefault="001C1AFC" w:rsidP="001C1AFC">
            <w:pPr>
              <w:pStyle w:val="Header"/>
              <w:tabs>
                <w:tab w:val="clear" w:pos="4153"/>
                <w:tab w:val="clear" w:pos="8306"/>
                <w:tab w:val="left" w:pos="720"/>
              </w:tabs>
              <w:rPr>
                <w:rFonts w:cs="Arial"/>
              </w:rPr>
            </w:pPr>
            <w:r>
              <w:rPr>
                <w:rFonts w:cs="Arial"/>
              </w:rPr>
              <w:t>Assessment</w:t>
            </w:r>
          </w:p>
          <w:p w:rsidR="001C1AFC" w:rsidRDefault="001C1AFC" w:rsidP="001C1AFC">
            <w:pPr>
              <w:pStyle w:val="Header"/>
              <w:tabs>
                <w:tab w:val="clear" w:pos="4153"/>
                <w:tab w:val="clear" w:pos="8306"/>
                <w:tab w:val="left" w:pos="720"/>
              </w:tabs>
              <w:rPr>
                <w:rFonts w:cs="Arial"/>
              </w:rPr>
            </w:pPr>
            <w:r>
              <w:rPr>
                <w:rFonts w:cs="Arial"/>
              </w:rPr>
              <w:t>Expectations for Quality 1</w:t>
            </w:r>
          </w:p>
          <w:p w:rsidR="001C1AFC" w:rsidRDefault="001C1AFC" w:rsidP="001C1AFC">
            <w:pPr>
              <w:pStyle w:val="Header"/>
              <w:tabs>
                <w:tab w:val="clear" w:pos="4153"/>
                <w:tab w:val="clear" w:pos="8306"/>
                <w:tab w:val="left" w:pos="720"/>
              </w:tabs>
              <w:rPr>
                <w:rFonts w:cs="Arial"/>
              </w:rPr>
            </w:pPr>
            <w:r>
              <w:rPr>
                <w:rFonts w:cs="Arial"/>
              </w:rPr>
              <w:t>Core Practices 1</w:t>
            </w:r>
          </w:p>
          <w:p w:rsidR="008C1B3D" w:rsidRPr="00545CD8" w:rsidRDefault="001C1AFC" w:rsidP="001C1AFC">
            <w:pPr>
              <w:pStyle w:val="Header"/>
              <w:tabs>
                <w:tab w:val="clear" w:pos="4153"/>
                <w:tab w:val="clear" w:pos="8306"/>
                <w:tab w:val="left" w:pos="720"/>
              </w:tabs>
              <w:rPr>
                <w:rFonts w:cs="Arial"/>
              </w:rPr>
            </w:pPr>
            <w:r>
              <w:rPr>
                <w:rFonts w:cs="Arial"/>
              </w:rPr>
              <w:t xml:space="preserve">Guiding Principles  </w:t>
            </w:r>
            <w:r>
              <w:rPr>
                <w:rFonts w:cs="Arial"/>
              </w:rPr>
              <w:t>4</w:t>
            </w:r>
          </w:p>
        </w:tc>
      </w:tr>
      <w:tr w:rsidR="000E639A" w:rsidRPr="00545CD8" w:rsidTr="002828DF">
        <w:tc>
          <w:tcPr>
            <w:tcW w:w="1881" w:type="dxa"/>
          </w:tcPr>
          <w:p w:rsidR="000E639A" w:rsidRPr="00545CD8" w:rsidRDefault="000E639A" w:rsidP="00552C01">
            <w:pPr>
              <w:pStyle w:val="BodyTextIndent2"/>
              <w:ind w:left="0"/>
            </w:pPr>
            <w:r w:rsidRPr="00545CD8">
              <w:rPr>
                <w:b/>
                <w:bCs/>
              </w:rPr>
              <w:t>Regulatory requirement</w:t>
            </w:r>
            <w:r w:rsidR="00552C01">
              <w:rPr>
                <w:b/>
                <w:bCs/>
              </w:rPr>
              <w:t>s</w:t>
            </w:r>
            <w:r w:rsidRPr="00545CD8">
              <w:rPr>
                <w:b/>
                <w:bCs/>
              </w:rPr>
              <w:t xml:space="preserve"> of awarding and professional bodies</w:t>
            </w:r>
          </w:p>
        </w:tc>
        <w:tc>
          <w:tcPr>
            <w:tcW w:w="5954" w:type="dxa"/>
          </w:tcPr>
          <w:p w:rsidR="000E639A" w:rsidRPr="00545CD8" w:rsidRDefault="000E639A" w:rsidP="004A0798">
            <w:pPr>
              <w:pStyle w:val="BodyTextIndent2"/>
              <w:ind w:left="0"/>
            </w:pPr>
            <w:r w:rsidRPr="00545CD8">
              <w:t>The College requires that all staff are aware of and operate under the specific regulatory requirements of its awarding bodies and, where appropriate, professional bodies. The College has developed appropriate internal policies and procedures that cover major requirements.</w:t>
            </w:r>
          </w:p>
          <w:p w:rsidR="000E639A" w:rsidRPr="00545CD8" w:rsidRDefault="000E639A" w:rsidP="004A0798">
            <w:pPr>
              <w:pStyle w:val="BodyTextIndent2"/>
              <w:ind w:left="0"/>
            </w:pPr>
          </w:p>
        </w:tc>
        <w:tc>
          <w:tcPr>
            <w:tcW w:w="1705" w:type="dxa"/>
          </w:tcPr>
          <w:p w:rsidR="000E639A" w:rsidRPr="00545CD8" w:rsidRDefault="000E639A" w:rsidP="006E4EEB">
            <w:pPr>
              <w:pStyle w:val="BodyTextIndent"/>
              <w:tabs>
                <w:tab w:val="left" w:pos="720"/>
              </w:tabs>
              <w:ind w:left="0"/>
              <w:jc w:val="both"/>
              <w:rPr>
                <w:rFonts w:cs="Arial"/>
              </w:rPr>
            </w:pPr>
          </w:p>
        </w:tc>
      </w:tr>
      <w:tr w:rsidR="002A14AD" w:rsidRPr="005661EC" w:rsidTr="002828DF">
        <w:tc>
          <w:tcPr>
            <w:tcW w:w="1881" w:type="dxa"/>
            <w:tcBorders>
              <w:top w:val="single" w:sz="6" w:space="0" w:color="000000"/>
              <w:left w:val="single" w:sz="6" w:space="0" w:color="000000"/>
              <w:bottom w:val="single" w:sz="6" w:space="0" w:color="000000"/>
              <w:right w:val="single" w:sz="6" w:space="0" w:color="000000"/>
            </w:tcBorders>
          </w:tcPr>
          <w:p w:rsidR="002A14AD" w:rsidRPr="002A14AD" w:rsidRDefault="002A14AD" w:rsidP="00B508E1">
            <w:pPr>
              <w:pStyle w:val="BodyTextIndent2"/>
              <w:ind w:left="0"/>
              <w:rPr>
                <w:b/>
                <w:bCs/>
              </w:rPr>
            </w:pPr>
            <w:r w:rsidRPr="002A14AD">
              <w:rPr>
                <w:b/>
                <w:bCs/>
              </w:rPr>
              <w:t>Monitoring and Review</w:t>
            </w:r>
          </w:p>
        </w:tc>
        <w:tc>
          <w:tcPr>
            <w:tcW w:w="5954" w:type="dxa"/>
            <w:tcBorders>
              <w:top w:val="single" w:sz="6" w:space="0" w:color="000000"/>
              <w:left w:val="single" w:sz="6" w:space="0" w:color="000000"/>
              <w:bottom w:val="single" w:sz="6" w:space="0" w:color="000000"/>
              <w:right w:val="single" w:sz="6" w:space="0" w:color="000000"/>
            </w:tcBorders>
          </w:tcPr>
          <w:p w:rsidR="002A14AD" w:rsidRPr="002A14AD" w:rsidRDefault="002A14AD" w:rsidP="00B508E1">
            <w:pPr>
              <w:pStyle w:val="BodyTextIndent2"/>
              <w:ind w:left="0"/>
            </w:pPr>
            <w:r w:rsidRPr="002A14AD">
              <w:t>The College will regularly monitor and review this policy and its associated procedures to assess the effectiveness of its implementation and outcomes</w:t>
            </w:r>
            <w:r>
              <w:t>.</w:t>
            </w:r>
          </w:p>
          <w:p w:rsidR="002A14AD" w:rsidRPr="002A14AD" w:rsidRDefault="002A14AD" w:rsidP="00B508E1">
            <w:pPr>
              <w:pStyle w:val="BodyTextIndent2"/>
              <w:ind w:left="0"/>
            </w:pPr>
          </w:p>
        </w:tc>
        <w:tc>
          <w:tcPr>
            <w:tcW w:w="1705" w:type="dxa"/>
            <w:tcBorders>
              <w:top w:val="single" w:sz="6" w:space="0" w:color="000000"/>
              <w:left w:val="single" w:sz="6" w:space="0" w:color="000000"/>
              <w:bottom w:val="single" w:sz="6" w:space="0" w:color="000000"/>
              <w:right w:val="single" w:sz="6" w:space="0" w:color="000000"/>
            </w:tcBorders>
          </w:tcPr>
          <w:p w:rsidR="002A14AD" w:rsidRDefault="00BF419E" w:rsidP="009C5D92">
            <w:pPr>
              <w:pStyle w:val="BodyTextIndent"/>
              <w:tabs>
                <w:tab w:val="left" w:pos="720"/>
              </w:tabs>
              <w:ind w:left="0"/>
              <w:jc w:val="both"/>
              <w:rPr>
                <w:rFonts w:cs="Arial"/>
              </w:rPr>
            </w:pPr>
            <w:r>
              <w:rPr>
                <w:rFonts w:cs="Arial"/>
              </w:rPr>
              <w:t>Monitoring and Evaluation</w:t>
            </w:r>
          </w:p>
          <w:p w:rsidR="00BF419E" w:rsidRPr="002A14AD" w:rsidRDefault="00BF419E" w:rsidP="009C5D92">
            <w:pPr>
              <w:pStyle w:val="BodyTextIndent"/>
              <w:tabs>
                <w:tab w:val="left" w:pos="720"/>
              </w:tabs>
              <w:ind w:left="0"/>
              <w:jc w:val="both"/>
              <w:rPr>
                <w:rFonts w:cs="Arial"/>
              </w:rPr>
            </w:pPr>
            <w:r>
              <w:rPr>
                <w:rFonts w:cs="Arial"/>
              </w:rPr>
              <w:t>EfS Common Practice</w:t>
            </w:r>
          </w:p>
        </w:tc>
      </w:tr>
      <w:tr w:rsidR="00067AA8" w:rsidTr="002828DF">
        <w:tc>
          <w:tcPr>
            <w:tcW w:w="1881" w:type="dxa"/>
            <w:tcBorders>
              <w:top w:val="single" w:sz="6" w:space="0" w:color="000000"/>
              <w:left w:val="single" w:sz="6" w:space="0" w:color="000000"/>
              <w:bottom w:val="single" w:sz="6" w:space="0" w:color="000000"/>
              <w:right w:val="single" w:sz="6" w:space="0" w:color="000000"/>
            </w:tcBorders>
          </w:tcPr>
          <w:p w:rsidR="00067AA8" w:rsidRPr="00067AA8" w:rsidRDefault="00067AA8">
            <w:pPr>
              <w:pStyle w:val="BodyTextIndent2"/>
              <w:ind w:left="0"/>
              <w:rPr>
                <w:b/>
                <w:bCs/>
              </w:rPr>
            </w:pPr>
            <w:r w:rsidRPr="00067AA8">
              <w:rPr>
                <w:b/>
                <w:bCs/>
              </w:rPr>
              <w:t>Appeals</w:t>
            </w:r>
          </w:p>
        </w:tc>
        <w:tc>
          <w:tcPr>
            <w:tcW w:w="5954" w:type="dxa"/>
            <w:tcBorders>
              <w:top w:val="single" w:sz="6" w:space="0" w:color="000000"/>
              <w:left w:val="single" w:sz="6" w:space="0" w:color="000000"/>
              <w:bottom w:val="single" w:sz="6" w:space="0" w:color="000000"/>
              <w:right w:val="single" w:sz="6" w:space="0" w:color="000000"/>
            </w:tcBorders>
          </w:tcPr>
          <w:p w:rsidR="00067AA8" w:rsidRPr="00067AA8" w:rsidRDefault="00067AA8" w:rsidP="0093374D">
            <w:pPr>
              <w:pStyle w:val="BodyTextIndent2"/>
              <w:ind w:left="0"/>
            </w:pPr>
            <w:r w:rsidRPr="00067AA8">
              <w:t xml:space="preserve">Appeals against </w:t>
            </w:r>
            <w:r w:rsidR="009C5D92">
              <w:t>decisions</w:t>
            </w:r>
            <w:r w:rsidRPr="00067AA8">
              <w:t xml:space="preserve"> should made in accordance with the Academic Appeals procedure</w:t>
            </w:r>
            <w:r w:rsidR="009C5D92">
              <w:t xml:space="preserve">, within 14 </w:t>
            </w:r>
            <w:r w:rsidR="0093374D">
              <w:t xml:space="preserve">calendar </w:t>
            </w:r>
            <w:r w:rsidR="009C5D92">
              <w:t xml:space="preserve">days </w:t>
            </w:r>
            <w:r w:rsidR="0093374D">
              <w:t xml:space="preserve">from </w:t>
            </w:r>
            <w:r w:rsidR="009C5D92">
              <w:t xml:space="preserve">the date </w:t>
            </w:r>
            <w:r w:rsidR="0093374D">
              <w:t>of the</w:t>
            </w:r>
            <w:r w:rsidR="009C5D92">
              <w:t xml:space="preserve"> Academic Misconduct Panel</w:t>
            </w:r>
            <w:r w:rsidR="0093374D">
              <w:t>.</w:t>
            </w:r>
          </w:p>
        </w:tc>
        <w:tc>
          <w:tcPr>
            <w:tcW w:w="1705" w:type="dxa"/>
            <w:tcBorders>
              <w:top w:val="single" w:sz="6" w:space="0" w:color="000000"/>
              <w:left w:val="single" w:sz="6" w:space="0" w:color="000000"/>
              <w:bottom w:val="single" w:sz="6" w:space="0" w:color="000000"/>
              <w:right w:val="single" w:sz="6" w:space="0" w:color="000000"/>
            </w:tcBorders>
          </w:tcPr>
          <w:p w:rsidR="00067AA8" w:rsidRDefault="00BF419E" w:rsidP="00BF419E">
            <w:pPr>
              <w:pStyle w:val="BodyTextIndent"/>
              <w:tabs>
                <w:tab w:val="left" w:pos="720"/>
              </w:tabs>
              <w:ind w:left="0"/>
              <w:jc w:val="both"/>
              <w:rPr>
                <w:rFonts w:cs="Arial"/>
              </w:rPr>
            </w:pPr>
            <w:r>
              <w:rPr>
                <w:rFonts w:cs="Arial"/>
              </w:rPr>
              <w:t>Concerns, Complaints and Appeals</w:t>
            </w:r>
          </w:p>
          <w:p w:rsidR="00BF419E" w:rsidRDefault="00BF419E" w:rsidP="00BF419E">
            <w:pPr>
              <w:pStyle w:val="BodyTextIndent"/>
              <w:tabs>
                <w:tab w:val="left" w:pos="720"/>
              </w:tabs>
              <w:ind w:left="0"/>
              <w:jc w:val="both"/>
              <w:rPr>
                <w:rFonts w:cs="Arial"/>
              </w:rPr>
            </w:pPr>
            <w:r>
              <w:rPr>
                <w:rFonts w:cs="Arial"/>
              </w:rPr>
              <w:t>Core Practice</w:t>
            </w:r>
          </w:p>
          <w:p w:rsidR="00BF419E" w:rsidRPr="00067AA8" w:rsidRDefault="00BF419E" w:rsidP="00BF419E">
            <w:pPr>
              <w:pStyle w:val="BodyTextIndent"/>
              <w:tabs>
                <w:tab w:val="left" w:pos="720"/>
              </w:tabs>
              <w:ind w:left="0"/>
              <w:jc w:val="both"/>
              <w:rPr>
                <w:rFonts w:cs="Arial"/>
              </w:rPr>
            </w:pPr>
            <w:r>
              <w:rPr>
                <w:rFonts w:cs="Arial"/>
              </w:rPr>
              <w:t>Guiding Principles All</w:t>
            </w:r>
          </w:p>
        </w:tc>
      </w:tr>
      <w:tr w:rsidR="004D54A1" w:rsidTr="002828DF">
        <w:tc>
          <w:tcPr>
            <w:tcW w:w="1881" w:type="dxa"/>
            <w:tcBorders>
              <w:top w:val="single" w:sz="6" w:space="0" w:color="000000"/>
              <w:left w:val="single" w:sz="6" w:space="0" w:color="000000"/>
              <w:bottom w:val="single" w:sz="6" w:space="0" w:color="000000"/>
              <w:right w:val="single" w:sz="6" w:space="0" w:color="000000"/>
            </w:tcBorders>
          </w:tcPr>
          <w:p w:rsidR="004D54A1" w:rsidRPr="00067AA8" w:rsidRDefault="002828DF" w:rsidP="004D54A1">
            <w:pPr>
              <w:pStyle w:val="BodyTextIndent2"/>
              <w:ind w:left="0"/>
              <w:rPr>
                <w:b/>
                <w:bCs/>
              </w:rPr>
            </w:pPr>
            <w:r>
              <w:rPr>
                <w:b/>
                <w:bCs/>
              </w:rPr>
              <w:t xml:space="preserve">Related </w:t>
            </w:r>
            <w:r w:rsidR="004D54A1">
              <w:rPr>
                <w:b/>
                <w:bCs/>
              </w:rPr>
              <w:t>Documentation</w:t>
            </w:r>
          </w:p>
        </w:tc>
        <w:tc>
          <w:tcPr>
            <w:tcW w:w="5954" w:type="dxa"/>
            <w:tcBorders>
              <w:top w:val="single" w:sz="6" w:space="0" w:color="000000"/>
              <w:left w:val="single" w:sz="6" w:space="0" w:color="000000"/>
              <w:bottom w:val="single" w:sz="6" w:space="0" w:color="000000"/>
              <w:right w:val="single" w:sz="6" w:space="0" w:color="000000"/>
            </w:tcBorders>
          </w:tcPr>
          <w:p w:rsidR="004D54A1" w:rsidRDefault="004D54A1" w:rsidP="00DE3BF6">
            <w:pPr>
              <w:pStyle w:val="BodyTextIndent2"/>
              <w:numPr>
                <w:ilvl w:val="0"/>
                <w:numId w:val="26"/>
              </w:numPr>
            </w:pPr>
            <w:r>
              <w:t>Academic Misconduct Process</w:t>
            </w:r>
          </w:p>
          <w:p w:rsidR="004D54A1" w:rsidRDefault="004D54A1" w:rsidP="00DE3BF6">
            <w:pPr>
              <w:pStyle w:val="BodyTextIndent2"/>
              <w:numPr>
                <w:ilvl w:val="0"/>
                <w:numId w:val="26"/>
              </w:numPr>
            </w:pPr>
            <w:r>
              <w:t>Student Guide to Avoiding Academic Misconduct</w:t>
            </w:r>
          </w:p>
          <w:p w:rsidR="004D54A1" w:rsidRDefault="004D54A1" w:rsidP="00DE3BF6">
            <w:pPr>
              <w:pStyle w:val="BodyTextIndent2"/>
              <w:numPr>
                <w:ilvl w:val="0"/>
                <w:numId w:val="26"/>
              </w:numPr>
            </w:pPr>
            <w:r>
              <w:t>Turnitin Guide</w:t>
            </w:r>
          </w:p>
          <w:p w:rsidR="004D54A1" w:rsidRDefault="004D54A1" w:rsidP="00DE3BF6">
            <w:pPr>
              <w:pStyle w:val="BodyTextIndent2"/>
              <w:numPr>
                <w:ilvl w:val="0"/>
                <w:numId w:val="26"/>
              </w:numPr>
            </w:pPr>
            <w:r>
              <w:t>Assessment and Moderation Handbook</w:t>
            </w:r>
          </w:p>
          <w:p w:rsidR="00DE67F3" w:rsidRDefault="00DE67F3" w:rsidP="00DE3BF6">
            <w:pPr>
              <w:pStyle w:val="BodyTextIndent2"/>
              <w:numPr>
                <w:ilvl w:val="0"/>
                <w:numId w:val="26"/>
              </w:numPr>
            </w:pPr>
            <w:r>
              <w:t>Academic Appeals Policy</w:t>
            </w:r>
          </w:p>
          <w:p w:rsidR="00DE67F3" w:rsidRDefault="00DE67F3" w:rsidP="00DE3BF6">
            <w:pPr>
              <w:pStyle w:val="BodyTextIndent2"/>
              <w:numPr>
                <w:ilvl w:val="0"/>
                <w:numId w:val="26"/>
              </w:numPr>
            </w:pPr>
            <w:r>
              <w:t>Academic Appeals Process</w:t>
            </w:r>
          </w:p>
          <w:p w:rsidR="00DE3BF6" w:rsidRDefault="00DE3BF6" w:rsidP="00DE3BF6">
            <w:pPr>
              <w:pStyle w:val="BodyTextIndent2"/>
              <w:numPr>
                <w:ilvl w:val="0"/>
                <w:numId w:val="26"/>
              </w:numPr>
              <w:spacing w:before="0" w:after="0"/>
              <w:jc w:val="both"/>
              <w:rPr>
                <w:szCs w:val="22"/>
              </w:rPr>
            </w:pPr>
            <w:r>
              <w:rPr>
                <w:szCs w:val="22"/>
              </w:rPr>
              <w:t>Foundation Degree Academic Regulations</w:t>
            </w:r>
          </w:p>
          <w:p w:rsidR="00DE3BF6" w:rsidRPr="00067AA8" w:rsidRDefault="00DE3BF6" w:rsidP="00DE3BF6">
            <w:pPr>
              <w:pStyle w:val="BodyTextIndent2"/>
              <w:ind w:left="720"/>
            </w:pPr>
          </w:p>
        </w:tc>
        <w:tc>
          <w:tcPr>
            <w:tcW w:w="1705" w:type="dxa"/>
            <w:tcBorders>
              <w:top w:val="single" w:sz="6" w:space="0" w:color="000000"/>
              <w:left w:val="single" w:sz="6" w:space="0" w:color="000000"/>
              <w:bottom w:val="single" w:sz="6" w:space="0" w:color="000000"/>
              <w:right w:val="single" w:sz="6" w:space="0" w:color="000000"/>
            </w:tcBorders>
          </w:tcPr>
          <w:p w:rsidR="004D54A1" w:rsidRPr="00067AA8" w:rsidRDefault="004D54A1" w:rsidP="004D54A1">
            <w:pPr>
              <w:pStyle w:val="BodyTextIndent"/>
              <w:tabs>
                <w:tab w:val="left" w:pos="720"/>
              </w:tabs>
              <w:jc w:val="both"/>
              <w:rPr>
                <w:rFonts w:cs="Arial"/>
              </w:rPr>
            </w:pPr>
          </w:p>
        </w:tc>
      </w:tr>
    </w:tbl>
    <w:p w:rsidR="0012311E" w:rsidRPr="00545CD8" w:rsidRDefault="0012311E" w:rsidP="006E4EEB">
      <w:pPr>
        <w:spacing w:before="0" w:after="0"/>
        <w:rPr>
          <w:rFonts w:cs="Arial"/>
          <w:sz w:val="20"/>
          <w:szCs w:val="20"/>
        </w:rPr>
        <w:sectPr w:rsidR="0012311E" w:rsidRPr="00545CD8">
          <w:pgSz w:w="11906" w:h="16838" w:code="9"/>
          <w:pgMar w:top="1438" w:right="1287" w:bottom="720" w:left="1622" w:header="709" w:footer="709" w:gutter="0"/>
          <w:cols w:space="708"/>
          <w:docGrid w:linePitch="360"/>
        </w:sectPr>
      </w:pPr>
    </w:p>
    <w:p w:rsidR="00460492" w:rsidRPr="00E1647F" w:rsidRDefault="00460492" w:rsidP="001C1AFC">
      <w:bookmarkStart w:id="0" w:name="_GoBack"/>
      <w:bookmarkEnd w:id="0"/>
    </w:p>
    <w:sectPr w:rsidR="00460492" w:rsidRPr="00E1647F" w:rsidSect="0012311E">
      <w:pgSz w:w="11906" w:h="16838" w:code="9"/>
      <w:pgMar w:top="851" w:right="1287" w:bottom="720"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19E" w:rsidRDefault="00BF419E">
      <w:r>
        <w:separator/>
      </w:r>
    </w:p>
  </w:endnote>
  <w:endnote w:type="continuationSeparator" w:id="0">
    <w:p w:rsidR="00BF419E" w:rsidRDefault="00BF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19E" w:rsidRDefault="00BF419E">
    <w:pPr>
      <w:pStyle w:val="Footer"/>
      <w:rPr>
        <w:sz w:val="18"/>
      </w:rPr>
    </w:pPr>
    <w:r>
      <w:rPr>
        <w:sz w:val="16"/>
        <w:szCs w:val="16"/>
      </w:rPr>
      <w:t>Version 2 September 2019</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1C1AFC">
      <w:rPr>
        <w:rStyle w:val="PageNumber"/>
        <w:noProof/>
        <w:sz w:val="18"/>
      </w:rPr>
      <w:t>2</w:t>
    </w:r>
    <w:r>
      <w:rPr>
        <w:rStyle w:val="PageNumber"/>
        <w:sz w:val="18"/>
      </w:rPr>
      <w:fldChar w:fldCharType="end"/>
    </w:r>
    <w:r>
      <w:rPr>
        <w:rStyle w:val="PageNumbe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19E" w:rsidRDefault="00BF419E">
      <w:r>
        <w:separator/>
      </w:r>
    </w:p>
  </w:footnote>
  <w:footnote w:type="continuationSeparator" w:id="0">
    <w:p w:rsidR="00BF419E" w:rsidRDefault="00BF4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F8B"/>
    <w:multiLevelType w:val="hybridMultilevel"/>
    <w:tmpl w:val="894A7B9E"/>
    <w:lvl w:ilvl="0" w:tplc="D2FCCF10">
      <w:start w:val="1"/>
      <w:numFmt w:val="bullet"/>
      <w:lvlText w:val=""/>
      <w:lvlJc w:val="left"/>
      <w:pPr>
        <w:tabs>
          <w:tab w:val="num" w:pos="543"/>
        </w:tabs>
        <w:ind w:left="543" w:hanging="471"/>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B5C097E"/>
    <w:multiLevelType w:val="hybridMultilevel"/>
    <w:tmpl w:val="C40EF09E"/>
    <w:lvl w:ilvl="0" w:tplc="0409000F">
      <w:start w:val="1"/>
      <w:numFmt w:val="decimal"/>
      <w:pStyle w:val="SubHeading"/>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B3294"/>
    <w:multiLevelType w:val="hybridMultilevel"/>
    <w:tmpl w:val="1F84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F32CF"/>
    <w:multiLevelType w:val="hybridMultilevel"/>
    <w:tmpl w:val="D1DEB154"/>
    <w:lvl w:ilvl="0" w:tplc="FFFFFFFF">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A457293"/>
    <w:multiLevelType w:val="hybridMultilevel"/>
    <w:tmpl w:val="5DD6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F2BDC"/>
    <w:multiLevelType w:val="hybridMultilevel"/>
    <w:tmpl w:val="C42E9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971F4D"/>
    <w:multiLevelType w:val="hybridMultilevel"/>
    <w:tmpl w:val="F372F2C4"/>
    <w:lvl w:ilvl="0" w:tplc="D2FCCF10">
      <w:start w:val="1"/>
      <w:numFmt w:val="bullet"/>
      <w:lvlText w:val=""/>
      <w:lvlJc w:val="left"/>
      <w:pPr>
        <w:tabs>
          <w:tab w:val="num" w:pos="471"/>
        </w:tabs>
        <w:ind w:left="471" w:hanging="471"/>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D1579"/>
    <w:multiLevelType w:val="hybridMultilevel"/>
    <w:tmpl w:val="14A4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97EF0"/>
    <w:multiLevelType w:val="hybridMultilevel"/>
    <w:tmpl w:val="37A2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F67F7"/>
    <w:multiLevelType w:val="hybridMultilevel"/>
    <w:tmpl w:val="9500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60D"/>
    <w:multiLevelType w:val="hybridMultilevel"/>
    <w:tmpl w:val="287C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04AFB"/>
    <w:multiLevelType w:val="hybridMultilevel"/>
    <w:tmpl w:val="D5ACBCAC"/>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15:restartNumberingAfterBreak="0">
    <w:nsid w:val="2FE64128"/>
    <w:multiLevelType w:val="hybridMultilevel"/>
    <w:tmpl w:val="A0927B24"/>
    <w:lvl w:ilvl="0" w:tplc="D2FCCF10">
      <w:start w:val="1"/>
      <w:numFmt w:val="bullet"/>
      <w:lvlText w:val=""/>
      <w:lvlJc w:val="left"/>
      <w:pPr>
        <w:tabs>
          <w:tab w:val="num" w:pos="471"/>
        </w:tabs>
        <w:ind w:left="471" w:hanging="471"/>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953A9"/>
    <w:multiLevelType w:val="hybridMultilevel"/>
    <w:tmpl w:val="9314CC60"/>
    <w:lvl w:ilvl="0" w:tplc="D2FCCF10">
      <w:start w:val="1"/>
      <w:numFmt w:val="bullet"/>
      <w:lvlText w:val=""/>
      <w:lvlJc w:val="left"/>
      <w:pPr>
        <w:tabs>
          <w:tab w:val="num" w:pos="471"/>
        </w:tabs>
        <w:ind w:left="471" w:hanging="471"/>
      </w:pPr>
      <w:rPr>
        <w:rFonts w:ascii="Wingdings" w:hAnsi="Wingdings" w:hint="default"/>
        <w:sz w:val="16"/>
      </w:rPr>
    </w:lvl>
    <w:lvl w:ilvl="1" w:tplc="04090005">
      <w:start w:val="1"/>
      <w:numFmt w:val="bullet"/>
      <w:lvlText w:val=""/>
      <w:lvlJc w:val="left"/>
      <w:pPr>
        <w:tabs>
          <w:tab w:val="num" w:pos="1080"/>
        </w:tabs>
        <w:ind w:left="1080" w:hanging="360"/>
      </w:pPr>
      <w:rPr>
        <w:rFonts w:ascii="Wingdings" w:hAnsi="Wingdings" w:hint="default"/>
      </w:rPr>
    </w:lvl>
    <w:lvl w:ilvl="2" w:tplc="D9FC1B6E">
      <w:start w:val="2"/>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553841"/>
    <w:multiLevelType w:val="hybridMultilevel"/>
    <w:tmpl w:val="2F9E05DC"/>
    <w:lvl w:ilvl="0" w:tplc="08090001">
      <w:start w:val="1"/>
      <w:numFmt w:val="bullet"/>
      <w:lvlText w:val=""/>
      <w:lvlJc w:val="left"/>
      <w:pPr>
        <w:ind w:left="1080" w:hanging="360"/>
      </w:pPr>
      <w:rPr>
        <w:rFonts w:ascii="Symbol" w:hAnsi="Symbol" w:hint="default"/>
      </w:rPr>
    </w:lvl>
    <w:lvl w:ilvl="1" w:tplc="F828A0F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7B7B27"/>
    <w:multiLevelType w:val="hybridMultilevel"/>
    <w:tmpl w:val="DA4C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044A9"/>
    <w:multiLevelType w:val="hybridMultilevel"/>
    <w:tmpl w:val="9894CB92"/>
    <w:lvl w:ilvl="0" w:tplc="D2FCCF10">
      <w:start w:val="1"/>
      <w:numFmt w:val="bullet"/>
      <w:lvlText w:val=""/>
      <w:lvlJc w:val="left"/>
      <w:pPr>
        <w:tabs>
          <w:tab w:val="num" w:pos="471"/>
        </w:tabs>
        <w:ind w:left="471" w:hanging="471"/>
      </w:pPr>
      <w:rPr>
        <w:rFonts w:ascii="Wingdings" w:hAnsi="Wingdings" w:hint="default"/>
        <w:sz w:val="16"/>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DD52560"/>
    <w:multiLevelType w:val="hybridMultilevel"/>
    <w:tmpl w:val="9314CC60"/>
    <w:lvl w:ilvl="0" w:tplc="D2FCCF10">
      <w:start w:val="1"/>
      <w:numFmt w:val="bullet"/>
      <w:lvlText w:val=""/>
      <w:lvlJc w:val="left"/>
      <w:pPr>
        <w:tabs>
          <w:tab w:val="num" w:pos="471"/>
        </w:tabs>
        <w:ind w:left="471" w:hanging="471"/>
      </w:pPr>
      <w:rPr>
        <w:rFonts w:ascii="Wingdings" w:hAnsi="Wingdings" w:hint="default"/>
        <w:sz w:val="16"/>
      </w:rPr>
    </w:lvl>
    <w:lvl w:ilvl="1" w:tplc="04090005">
      <w:start w:val="1"/>
      <w:numFmt w:val="bullet"/>
      <w:lvlText w:val=""/>
      <w:lvlJc w:val="left"/>
      <w:pPr>
        <w:tabs>
          <w:tab w:val="num" w:pos="1080"/>
        </w:tabs>
        <w:ind w:left="1080" w:hanging="360"/>
      </w:pPr>
      <w:rPr>
        <w:rFonts w:ascii="Wingdings" w:hAnsi="Wingdings" w:hint="default"/>
      </w:rPr>
    </w:lvl>
    <w:lvl w:ilvl="2" w:tplc="D9FC1B6E">
      <w:start w:val="2"/>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1880BA0"/>
    <w:multiLevelType w:val="hybridMultilevel"/>
    <w:tmpl w:val="5E1837C8"/>
    <w:lvl w:ilvl="0" w:tplc="D2FCCF10">
      <w:start w:val="1"/>
      <w:numFmt w:val="bullet"/>
      <w:lvlText w:val=""/>
      <w:lvlJc w:val="left"/>
      <w:pPr>
        <w:tabs>
          <w:tab w:val="num" w:pos="471"/>
        </w:tabs>
        <w:ind w:left="471" w:hanging="471"/>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8865C0F"/>
    <w:multiLevelType w:val="hybridMultilevel"/>
    <w:tmpl w:val="FD7C2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BE191C"/>
    <w:multiLevelType w:val="hybridMultilevel"/>
    <w:tmpl w:val="010E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641B4"/>
    <w:multiLevelType w:val="hybridMultilevel"/>
    <w:tmpl w:val="5E24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33CA2"/>
    <w:multiLevelType w:val="hybridMultilevel"/>
    <w:tmpl w:val="2894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86B17"/>
    <w:multiLevelType w:val="hybridMultilevel"/>
    <w:tmpl w:val="B3C66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6C376D1"/>
    <w:multiLevelType w:val="hybridMultilevel"/>
    <w:tmpl w:val="1B4A3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3671F5"/>
    <w:multiLevelType w:val="hybridMultilevel"/>
    <w:tmpl w:val="1BDE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4097E"/>
    <w:multiLevelType w:val="hybridMultilevel"/>
    <w:tmpl w:val="A6BC1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13"/>
  </w:num>
  <w:num w:numId="4">
    <w:abstractNumId w:val="16"/>
  </w:num>
  <w:num w:numId="5">
    <w:abstractNumId w:val="18"/>
  </w:num>
  <w:num w:numId="6">
    <w:abstractNumId w:val="0"/>
  </w:num>
  <w:num w:numId="7">
    <w:abstractNumId w:val="6"/>
  </w:num>
  <w:num w:numId="8">
    <w:abstractNumId w:val="12"/>
  </w:num>
  <w:num w:numId="9">
    <w:abstractNumId w:val="24"/>
  </w:num>
  <w:num w:numId="10">
    <w:abstractNumId w:val="19"/>
  </w:num>
  <w:num w:numId="11">
    <w:abstractNumId w:val="26"/>
  </w:num>
  <w:num w:numId="12">
    <w:abstractNumId w:val="5"/>
  </w:num>
  <w:num w:numId="13">
    <w:abstractNumId w:val="11"/>
  </w:num>
  <w:num w:numId="14">
    <w:abstractNumId w:val="14"/>
  </w:num>
  <w:num w:numId="15">
    <w:abstractNumId w:val="3"/>
  </w:num>
  <w:num w:numId="16">
    <w:abstractNumId w:val="9"/>
  </w:num>
  <w:num w:numId="17">
    <w:abstractNumId w:val="7"/>
  </w:num>
  <w:num w:numId="18">
    <w:abstractNumId w:val="4"/>
  </w:num>
  <w:num w:numId="19">
    <w:abstractNumId w:val="2"/>
  </w:num>
  <w:num w:numId="20">
    <w:abstractNumId w:val="20"/>
  </w:num>
  <w:num w:numId="21">
    <w:abstractNumId w:val="21"/>
  </w:num>
  <w:num w:numId="22">
    <w:abstractNumId w:val="15"/>
  </w:num>
  <w:num w:numId="23">
    <w:abstractNumId w:val="22"/>
  </w:num>
  <w:num w:numId="24">
    <w:abstractNumId w:val="10"/>
  </w:num>
  <w:num w:numId="25">
    <w:abstractNumId w:val="25"/>
  </w:num>
  <w:num w:numId="26">
    <w:abstractNumId w:val="8"/>
  </w:num>
  <w:num w:numId="2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95"/>
    <w:rsid w:val="000336E5"/>
    <w:rsid w:val="00067AA8"/>
    <w:rsid w:val="000A2907"/>
    <w:rsid w:val="000B7E89"/>
    <w:rsid w:val="000E639A"/>
    <w:rsid w:val="0012311E"/>
    <w:rsid w:val="001506F6"/>
    <w:rsid w:val="0018149E"/>
    <w:rsid w:val="00193C39"/>
    <w:rsid w:val="001C1AFC"/>
    <w:rsid w:val="00212161"/>
    <w:rsid w:val="00247A06"/>
    <w:rsid w:val="00247E38"/>
    <w:rsid w:val="00270C87"/>
    <w:rsid w:val="00280333"/>
    <w:rsid w:val="002828DF"/>
    <w:rsid w:val="002A14AD"/>
    <w:rsid w:val="002B3F54"/>
    <w:rsid w:val="002D436F"/>
    <w:rsid w:val="002F0E7B"/>
    <w:rsid w:val="002F3E95"/>
    <w:rsid w:val="00351F28"/>
    <w:rsid w:val="00460492"/>
    <w:rsid w:val="00494C36"/>
    <w:rsid w:val="004A0798"/>
    <w:rsid w:val="004B5661"/>
    <w:rsid w:val="004C3E54"/>
    <w:rsid w:val="004D54A1"/>
    <w:rsid w:val="004E1AFC"/>
    <w:rsid w:val="004E6738"/>
    <w:rsid w:val="00503DD6"/>
    <w:rsid w:val="005127E4"/>
    <w:rsid w:val="00513274"/>
    <w:rsid w:val="00523DD4"/>
    <w:rsid w:val="0052501D"/>
    <w:rsid w:val="00545CD8"/>
    <w:rsid w:val="00552C01"/>
    <w:rsid w:val="0056185A"/>
    <w:rsid w:val="005D4D35"/>
    <w:rsid w:val="0061479B"/>
    <w:rsid w:val="00635195"/>
    <w:rsid w:val="00652B41"/>
    <w:rsid w:val="0065728F"/>
    <w:rsid w:val="0067284B"/>
    <w:rsid w:val="0068758D"/>
    <w:rsid w:val="006B1E48"/>
    <w:rsid w:val="006B4F32"/>
    <w:rsid w:val="006B67F0"/>
    <w:rsid w:val="006C7BDD"/>
    <w:rsid w:val="006E4EEB"/>
    <w:rsid w:val="006F6769"/>
    <w:rsid w:val="00716792"/>
    <w:rsid w:val="007561F6"/>
    <w:rsid w:val="00786EE6"/>
    <w:rsid w:val="007B37DA"/>
    <w:rsid w:val="007C01E9"/>
    <w:rsid w:val="007E086F"/>
    <w:rsid w:val="00804C73"/>
    <w:rsid w:val="0088101E"/>
    <w:rsid w:val="00892039"/>
    <w:rsid w:val="0089456F"/>
    <w:rsid w:val="008C1B3D"/>
    <w:rsid w:val="008C4BD9"/>
    <w:rsid w:val="008E3588"/>
    <w:rsid w:val="0093374D"/>
    <w:rsid w:val="00957D95"/>
    <w:rsid w:val="009C5D92"/>
    <w:rsid w:val="00A471DE"/>
    <w:rsid w:val="00AA60E0"/>
    <w:rsid w:val="00AB244B"/>
    <w:rsid w:val="00AC25CE"/>
    <w:rsid w:val="00AD5630"/>
    <w:rsid w:val="00AE5BF2"/>
    <w:rsid w:val="00B2271C"/>
    <w:rsid w:val="00B37669"/>
    <w:rsid w:val="00B508E1"/>
    <w:rsid w:val="00B6216C"/>
    <w:rsid w:val="00B6593A"/>
    <w:rsid w:val="00BD6CF8"/>
    <w:rsid w:val="00BF419E"/>
    <w:rsid w:val="00C01FD8"/>
    <w:rsid w:val="00C11ECA"/>
    <w:rsid w:val="00C24120"/>
    <w:rsid w:val="00C27D43"/>
    <w:rsid w:val="00C52D40"/>
    <w:rsid w:val="00D55193"/>
    <w:rsid w:val="00D75BBF"/>
    <w:rsid w:val="00D84176"/>
    <w:rsid w:val="00D84AB4"/>
    <w:rsid w:val="00DB2B65"/>
    <w:rsid w:val="00DC1894"/>
    <w:rsid w:val="00DD299B"/>
    <w:rsid w:val="00DE3BF6"/>
    <w:rsid w:val="00DE67F3"/>
    <w:rsid w:val="00E1647F"/>
    <w:rsid w:val="00E74195"/>
    <w:rsid w:val="00F201C1"/>
    <w:rsid w:val="00F304E2"/>
    <w:rsid w:val="00F42063"/>
    <w:rsid w:val="00F65715"/>
    <w:rsid w:val="00F94BAF"/>
    <w:rsid w:val="00FC2F34"/>
    <w:rsid w:val="00FC658C"/>
    <w:rsid w:val="00FD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5841"/>
    <o:shapelayout v:ext="edit">
      <o:idmap v:ext="edit" data="1"/>
    </o:shapelayout>
  </w:shapeDefaults>
  <w:decimalSymbol w:val="."/>
  <w:listSeparator w:val=","/>
  <w14:docId w14:val="48505420"/>
  <w15:docId w15:val="{AC70D83D-AF5D-42DE-8956-38C966EB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193"/>
    <w:pPr>
      <w:spacing w:before="120" w:after="120"/>
    </w:pPr>
    <w:rPr>
      <w:rFonts w:ascii="Arial" w:hAnsi="Arial"/>
      <w:sz w:val="22"/>
      <w:szCs w:val="24"/>
    </w:rPr>
  </w:style>
  <w:style w:type="paragraph" w:styleId="Heading1">
    <w:name w:val="heading 1"/>
    <w:basedOn w:val="Normal"/>
    <w:next w:val="Normal"/>
    <w:qFormat/>
    <w:rsid w:val="00D55193"/>
    <w:pPr>
      <w:keepNext/>
      <w:autoSpaceDE w:val="0"/>
      <w:autoSpaceDN w:val="0"/>
      <w:adjustRightInd w:val="0"/>
      <w:ind w:left="720"/>
      <w:outlineLvl w:val="0"/>
    </w:pPr>
    <w:rPr>
      <w:rFonts w:cs="Arial"/>
      <w:b/>
      <w:bCs/>
      <w:sz w:val="23"/>
      <w:szCs w:val="23"/>
      <w:lang w:val="en-US" w:eastAsia="en-US"/>
    </w:rPr>
  </w:style>
  <w:style w:type="paragraph" w:styleId="Heading2">
    <w:name w:val="heading 2"/>
    <w:basedOn w:val="Normal"/>
    <w:next w:val="Normal"/>
    <w:qFormat/>
    <w:rsid w:val="00D55193"/>
    <w:pPr>
      <w:keepNext/>
      <w:tabs>
        <w:tab w:val="left" w:pos="720"/>
      </w:tabs>
      <w:ind w:left="360"/>
      <w:jc w:val="both"/>
      <w:outlineLvl w:val="1"/>
    </w:pPr>
    <w:rPr>
      <w:rFonts w:cs="Arial"/>
      <w:b/>
    </w:rPr>
  </w:style>
  <w:style w:type="paragraph" w:styleId="Heading3">
    <w:name w:val="heading 3"/>
    <w:basedOn w:val="Normal"/>
    <w:next w:val="Normal"/>
    <w:qFormat/>
    <w:rsid w:val="00D55193"/>
    <w:pPr>
      <w:keepNext/>
      <w:tabs>
        <w:tab w:val="left" w:pos="720"/>
      </w:tabs>
      <w:autoSpaceDE w:val="0"/>
      <w:autoSpaceDN w:val="0"/>
      <w:adjustRightInd w:val="0"/>
      <w:jc w:val="both"/>
      <w:outlineLvl w:val="2"/>
    </w:pPr>
    <w:rPr>
      <w:rFonts w:cs="Arial"/>
      <w:b/>
      <w:sz w:val="28"/>
    </w:rPr>
  </w:style>
  <w:style w:type="paragraph" w:styleId="Heading4">
    <w:name w:val="heading 4"/>
    <w:basedOn w:val="Normal"/>
    <w:next w:val="Normal"/>
    <w:qFormat/>
    <w:rsid w:val="00D55193"/>
    <w:pPr>
      <w:keepNext/>
      <w:outlineLvl w:val="3"/>
    </w:pPr>
    <w:rPr>
      <w:b/>
      <w:bCs/>
    </w:rPr>
  </w:style>
  <w:style w:type="paragraph" w:styleId="Heading5">
    <w:name w:val="heading 5"/>
    <w:basedOn w:val="Normal"/>
    <w:next w:val="Normal"/>
    <w:qFormat/>
    <w:rsid w:val="00D55193"/>
    <w:pPr>
      <w:keepNext/>
      <w:tabs>
        <w:tab w:val="left" w:pos="720"/>
      </w:tabs>
      <w:jc w:val="both"/>
      <w:outlineLvl w:val="4"/>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5193"/>
    <w:rPr>
      <w:rFonts w:ascii="Tahoma" w:hAnsi="Tahoma" w:cs="Tahoma"/>
      <w:sz w:val="16"/>
      <w:szCs w:val="16"/>
    </w:rPr>
  </w:style>
  <w:style w:type="paragraph" w:styleId="Header">
    <w:name w:val="header"/>
    <w:basedOn w:val="Normal"/>
    <w:rsid w:val="00D55193"/>
    <w:pPr>
      <w:tabs>
        <w:tab w:val="center" w:pos="4153"/>
        <w:tab w:val="right" w:pos="8306"/>
      </w:tabs>
    </w:pPr>
  </w:style>
  <w:style w:type="paragraph" w:styleId="Footer">
    <w:name w:val="footer"/>
    <w:basedOn w:val="Normal"/>
    <w:rsid w:val="00D55193"/>
    <w:pPr>
      <w:tabs>
        <w:tab w:val="center" w:pos="4153"/>
        <w:tab w:val="right" w:pos="8306"/>
      </w:tabs>
    </w:pPr>
  </w:style>
  <w:style w:type="character" w:styleId="PageNumber">
    <w:name w:val="page number"/>
    <w:basedOn w:val="DefaultParagraphFont"/>
    <w:rsid w:val="00D55193"/>
  </w:style>
  <w:style w:type="paragraph" w:customStyle="1" w:styleId="SubHeading">
    <w:name w:val="SubHeading"/>
    <w:basedOn w:val="Normal"/>
    <w:rsid w:val="00D55193"/>
    <w:pPr>
      <w:numPr>
        <w:numId w:val="1"/>
      </w:numPr>
      <w:spacing w:before="240" w:after="400"/>
    </w:pPr>
    <w:rPr>
      <w:rFonts w:ascii="Times New Roman" w:hAnsi="Times New Roman"/>
      <w:b/>
      <w:sz w:val="40"/>
      <w:szCs w:val="20"/>
    </w:rPr>
  </w:style>
  <w:style w:type="paragraph" w:styleId="BodyTextIndent">
    <w:name w:val="Body Text Indent"/>
    <w:basedOn w:val="Normal"/>
    <w:rsid w:val="00D55193"/>
    <w:pPr>
      <w:ind w:left="720"/>
    </w:pPr>
  </w:style>
  <w:style w:type="paragraph" w:styleId="BodyTextIndent2">
    <w:name w:val="Body Text Indent 2"/>
    <w:basedOn w:val="Normal"/>
    <w:rsid w:val="00D55193"/>
    <w:pPr>
      <w:ind w:left="1080"/>
    </w:pPr>
    <w:rPr>
      <w:rFonts w:cs="Arial"/>
    </w:rPr>
  </w:style>
  <w:style w:type="paragraph" w:styleId="BodyTextIndent3">
    <w:name w:val="Body Text Indent 3"/>
    <w:basedOn w:val="Normal"/>
    <w:rsid w:val="00D55193"/>
    <w:pPr>
      <w:tabs>
        <w:tab w:val="left" w:pos="360"/>
      </w:tabs>
      <w:ind w:left="360"/>
    </w:pPr>
    <w:rPr>
      <w:rFonts w:cs="Arial"/>
    </w:rPr>
  </w:style>
  <w:style w:type="paragraph" w:styleId="Title">
    <w:name w:val="Title"/>
    <w:basedOn w:val="Normal"/>
    <w:qFormat/>
    <w:rsid w:val="00D55193"/>
    <w:pPr>
      <w:spacing w:before="0" w:after="0"/>
      <w:jc w:val="center"/>
    </w:pPr>
    <w:rPr>
      <w:rFonts w:cs="Arial"/>
      <w:b/>
      <w:sz w:val="20"/>
      <w:szCs w:val="20"/>
    </w:rPr>
  </w:style>
  <w:style w:type="character" w:styleId="Hyperlink">
    <w:name w:val="Hyperlink"/>
    <w:basedOn w:val="DefaultParagraphFont"/>
    <w:rsid w:val="00D55193"/>
    <w:rPr>
      <w:color w:val="0000FF"/>
      <w:u w:val="single"/>
    </w:rPr>
  </w:style>
  <w:style w:type="paragraph" w:styleId="NormalWeb">
    <w:name w:val="Normal (Web)"/>
    <w:basedOn w:val="Normal"/>
    <w:rsid w:val="00D55193"/>
    <w:pPr>
      <w:spacing w:before="100" w:beforeAutospacing="1" w:after="100" w:afterAutospacing="1"/>
    </w:pPr>
    <w:rPr>
      <w:rFonts w:ascii="Times New Roman" w:hAnsi="Times New Roman"/>
      <w:lang w:eastAsia="en-US"/>
    </w:rPr>
  </w:style>
  <w:style w:type="paragraph" w:styleId="PlainText">
    <w:name w:val="Plain Text"/>
    <w:basedOn w:val="Normal"/>
    <w:rsid w:val="00D55193"/>
    <w:pPr>
      <w:spacing w:before="0" w:after="0"/>
    </w:pPr>
    <w:rPr>
      <w:rFonts w:ascii="Courier New" w:hAnsi="Courier New" w:cs="Courier New"/>
      <w:sz w:val="20"/>
      <w:szCs w:val="20"/>
      <w:lang w:eastAsia="en-US"/>
    </w:rPr>
  </w:style>
  <w:style w:type="paragraph" w:styleId="BodyText">
    <w:name w:val="Body Text"/>
    <w:basedOn w:val="Normal"/>
    <w:rsid w:val="00D55193"/>
    <w:pPr>
      <w:jc w:val="both"/>
    </w:pPr>
    <w:rPr>
      <w:rFonts w:cs="Arial"/>
      <w:b/>
    </w:rPr>
  </w:style>
  <w:style w:type="paragraph" w:styleId="BodyText2">
    <w:name w:val="Body Text 2"/>
    <w:basedOn w:val="Normal"/>
    <w:rsid w:val="00D55193"/>
    <w:rPr>
      <w:rFonts w:cs="Arial"/>
      <w:b/>
      <w:bCs/>
    </w:rPr>
  </w:style>
  <w:style w:type="character" w:styleId="CommentReference">
    <w:name w:val="annotation reference"/>
    <w:basedOn w:val="DefaultParagraphFont"/>
    <w:rsid w:val="00DC1894"/>
    <w:rPr>
      <w:sz w:val="16"/>
      <w:szCs w:val="16"/>
    </w:rPr>
  </w:style>
  <w:style w:type="paragraph" w:styleId="CommentText">
    <w:name w:val="annotation text"/>
    <w:basedOn w:val="Normal"/>
    <w:link w:val="CommentTextChar"/>
    <w:rsid w:val="00DC1894"/>
    <w:rPr>
      <w:sz w:val="20"/>
      <w:szCs w:val="20"/>
    </w:rPr>
  </w:style>
  <w:style w:type="character" w:customStyle="1" w:styleId="CommentTextChar">
    <w:name w:val="Comment Text Char"/>
    <w:basedOn w:val="DefaultParagraphFont"/>
    <w:link w:val="CommentText"/>
    <w:rsid w:val="00DC1894"/>
    <w:rPr>
      <w:rFonts w:ascii="Arial" w:hAnsi="Arial"/>
    </w:rPr>
  </w:style>
  <w:style w:type="paragraph" w:styleId="CommentSubject">
    <w:name w:val="annotation subject"/>
    <w:basedOn w:val="CommentText"/>
    <w:next w:val="CommentText"/>
    <w:link w:val="CommentSubjectChar"/>
    <w:rsid w:val="00DC1894"/>
    <w:rPr>
      <w:b/>
      <w:bCs/>
    </w:rPr>
  </w:style>
  <w:style w:type="character" w:customStyle="1" w:styleId="CommentSubjectChar">
    <w:name w:val="Comment Subject Char"/>
    <w:basedOn w:val="CommentTextChar"/>
    <w:link w:val="CommentSubject"/>
    <w:rsid w:val="00DC1894"/>
    <w:rPr>
      <w:rFonts w:ascii="Arial" w:hAnsi="Arial"/>
      <w:b/>
      <w:bCs/>
    </w:rPr>
  </w:style>
  <w:style w:type="paragraph" w:customStyle="1" w:styleId="Default">
    <w:name w:val="Default"/>
    <w:rsid w:val="000336E5"/>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61479B"/>
    <w:pPr>
      <w:spacing w:before="0"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09078">
      <w:bodyDiv w:val="1"/>
      <w:marLeft w:val="0"/>
      <w:marRight w:val="0"/>
      <w:marTop w:val="0"/>
      <w:marBottom w:val="0"/>
      <w:divBdr>
        <w:top w:val="none" w:sz="0" w:space="0" w:color="auto"/>
        <w:left w:val="none" w:sz="0" w:space="0" w:color="auto"/>
        <w:bottom w:val="none" w:sz="0" w:space="0" w:color="auto"/>
        <w:right w:val="none" w:sz="0" w:space="0" w:color="auto"/>
      </w:divBdr>
    </w:div>
    <w:div w:id="1294554739">
      <w:bodyDiv w:val="1"/>
      <w:marLeft w:val="0"/>
      <w:marRight w:val="0"/>
      <w:marTop w:val="0"/>
      <w:marBottom w:val="0"/>
      <w:divBdr>
        <w:top w:val="none" w:sz="0" w:space="0" w:color="auto"/>
        <w:left w:val="none" w:sz="0" w:space="0" w:color="auto"/>
        <w:bottom w:val="none" w:sz="0" w:space="0" w:color="auto"/>
        <w:right w:val="none" w:sz="0" w:space="0" w:color="auto"/>
      </w:divBdr>
    </w:div>
    <w:div w:id="19095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A766-E47A-4885-8CD3-F472DF8F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1214</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Newcastle College</vt:lpstr>
    </vt:vector>
  </TitlesOfParts>
  <Company>Newcastle College</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College</dc:title>
  <dc:creator>brobinson</dc:creator>
  <cp:lastModifiedBy>Sarah Wilson</cp:lastModifiedBy>
  <cp:revision>2</cp:revision>
  <cp:lastPrinted>2010-05-11T08:27:00Z</cp:lastPrinted>
  <dcterms:created xsi:type="dcterms:W3CDTF">2019-08-21T13:24:00Z</dcterms:created>
  <dcterms:modified xsi:type="dcterms:W3CDTF">2019-08-21T13:24:00Z</dcterms:modified>
</cp:coreProperties>
</file>